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atLeast"/>
        <w:rPr>
          <w:rFonts w:ascii="宋体"/>
          <w:b/>
          <w:sz w:val="28"/>
        </w:rPr>
      </w:pPr>
      <w:bookmarkStart w:id="0" w:name="_GoBack"/>
      <w:bookmarkEnd w:id="0"/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Text Box 3" o:spid="_x0000_s1030" type="#_x0000_t202" style="position:absolute;left:0;margin-left:248.85pt;margin-top:1.5pt;height:83.6pt;width:209.25pt;rotation:0f;z-index:251658240;" o:ole="f" fillcolor="#FFFFFF" filled="t" o:preferrelative="t" stroked="t" coordorigin="0,0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tbl>
                  <w:tblPr>
                    <w:tblStyle w:val="11"/>
                    <w:tblW w:w="3929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548"/>
                    <w:gridCol w:w="2381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548" w:type="dxa"/>
                        <w:vAlign w:val="top"/>
                      </w:tcPr>
                      <w:p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批准</w:t>
                        </w:r>
                      </w:p>
                    </w:tc>
                    <w:tc>
                      <w:tcPr>
                        <w:tcW w:w="2381" w:type="dxa"/>
                        <w:vAlign w:val="top"/>
                      </w:tcPr>
                      <w:p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929" w:type="dxa"/>
                        <w:gridSpan w:val="2"/>
                        <w:vAlign w:val="top"/>
                      </w:tcPr>
                      <w:p>
                        <w:pPr>
                          <w:spacing w:line="360" w:lineRule="auto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第2版生效日期：</w:t>
                        </w:r>
                        <w:r>
                          <w:rPr>
                            <w:sz w:val="24"/>
                          </w:rPr>
                          <w:t>201</w:t>
                        </w:r>
                        <w:r>
                          <w:rPr>
                            <w:rFonts w:hint="eastAsia"/>
                            <w:sz w:val="24"/>
                          </w:rPr>
                          <w:t>5年3月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929" w:type="dxa"/>
                        <w:gridSpan w:val="2"/>
                        <w:vAlign w:val="top"/>
                      </w:tcPr>
                      <w:p>
                        <w:pPr>
                          <w:spacing w:line="360" w:lineRule="auto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文件编号：</w:t>
                        </w:r>
                        <w:r>
                          <w:rPr>
                            <w:sz w:val="24"/>
                          </w:rPr>
                          <w:t>HL –H.R-002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</w:p>
    <w:p>
      <w:pPr>
        <w:spacing w:line="400" w:lineRule="atLeast"/>
        <w:jc w:val="center"/>
        <w:rPr>
          <w:rFonts w:ascii="宋体"/>
          <w:b/>
          <w:sz w:val="28"/>
        </w:rPr>
      </w:pPr>
    </w:p>
    <w:p>
      <w:pPr>
        <w:spacing w:line="400" w:lineRule="atLeast"/>
        <w:jc w:val="center"/>
        <w:rPr>
          <w:rFonts w:ascii="宋体"/>
          <w:b/>
          <w:sz w:val="28"/>
        </w:rPr>
      </w:pPr>
    </w:p>
    <w:p>
      <w:pPr>
        <w:spacing w:line="400" w:lineRule="atLeast"/>
        <w:jc w:val="center"/>
        <w:rPr>
          <w:rFonts w:ascii="宋体"/>
          <w:b/>
          <w:sz w:val="28"/>
        </w:rPr>
      </w:pPr>
    </w:p>
    <w:p>
      <w:pPr>
        <w:spacing w:line="400" w:lineRule="atLeast"/>
        <w:jc w:val="center"/>
        <w:rPr>
          <w:rFonts w:ascii="宋体" w:hAnsi="宋体" w:eastAsia="宋体"/>
          <w:b/>
          <w:color w:val="000000"/>
          <w:sz w:val="84"/>
          <w:szCs w:val="84"/>
        </w:rPr>
      </w:pPr>
      <w:r>
        <w:rPr>
          <w:rFonts w:hint="eastAsia" w:ascii="宋体" w:hAnsi="宋体" w:eastAsia="宋体"/>
          <w:b/>
          <w:color w:val="000000"/>
          <w:sz w:val="84"/>
          <w:szCs w:val="84"/>
        </w:rPr>
        <w:t>劳</w:t>
      </w:r>
    </w:p>
    <w:p>
      <w:pPr>
        <w:spacing w:line="400" w:lineRule="atLeast"/>
        <w:jc w:val="center"/>
        <w:rPr>
          <w:rFonts w:ascii="宋体" w:hAnsi="宋体" w:eastAsia="宋体"/>
          <w:b/>
          <w:color w:val="000000"/>
          <w:sz w:val="84"/>
          <w:szCs w:val="84"/>
        </w:rPr>
      </w:pPr>
      <w:r>
        <w:rPr>
          <w:rFonts w:hint="eastAsia" w:ascii="宋体" w:hAnsi="宋体" w:eastAsia="宋体"/>
          <w:b/>
          <w:color w:val="000000"/>
          <w:sz w:val="84"/>
          <w:szCs w:val="84"/>
        </w:rPr>
        <w:t>动</w:t>
      </w:r>
    </w:p>
    <w:p>
      <w:pPr>
        <w:spacing w:line="400" w:lineRule="atLeast"/>
        <w:jc w:val="center"/>
        <w:rPr>
          <w:rFonts w:ascii="宋体" w:hAnsi="宋体" w:eastAsia="宋体"/>
          <w:b/>
          <w:color w:val="000000"/>
          <w:sz w:val="84"/>
          <w:szCs w:val="84"/>
        </w:rPr>
      </w:pPr>
      <w:r>
        <w:rPr>
          <w:rFonts w:hint="eastAsia" w:ascii="宋体" w:hAnsi="宋体" w:eastAsia="宋体"/>
          <w:b/>
          <w:color w:val="000000"/>
          <w:sz w:val="84"/>
          <w:szCs w:val="84"/>
        </w:rPr>
        <w:t>关</w:t>
      </w:r>
    </w:p>
    <w:p>
      <w:pPr>
        <w:spacing w:line="400" w:lineRule="atLeast"/>
        <w:jc w:val="center"/>
        <w:rPr>
          <w:rFonts w:ascii="宋体" w:hAnsi="宋体" w:eastAsia="宋体"/>
          <w:b/>
          <w:color w:val="000000"/>
          <w:sz w:val="84"/>
          <w:szCs w:val="84"/>
        </w:rPr>
      </w:pPr>
      <w:r>
        <w:rPr>
          <w:rFonts w:hint="eastAsia" w:ascii="宋体" w:hAnsi="宋体" w:eastAsia="宋体"/>
          <w:b/>
          <w:color w:val="000000"/>
          <w:sz w:val="84"/>
          <w:szCs w:val="84"/>
        </w:rPr>
        <w:t>系</w:t>
      </w:r>
    </w:p>
    <w:p>
      <w:pPr>
        <w:spacing w:line="400" w:lineRule="atLeast"/>
        <w:jc w:val="center"/>
        <w:rPr>
          <w:rFonts w:ascii="宋体" w:hAnsi="宋体" w:eastAsia="宋体"/>
          <w:b/>
          <w:color w:val="000000"/>
          <w:sz w:val="84"/>
          <w:szCs w:val="84"/>
        </w:rPr>
      </w:pPr>
      <w:r>
        <w:rPr>
          <w:rFonts w:hint="eastAsia" w:ascii="宋体" w:hAnsi="宋体" w:eastAsia="宋体"/>
          <w:b/>
          <w:color w:val="000000"/>
          <w:sz w:val="84"/>
          <w:szCs w:val="84"/>
        </w:rPr>
        <w:t>管</w:t>
      </w:r>
    </w:p>
    <w:p>
      <w:pPr>
        <w:spacing w:line="400" w:lineRule="atLeast"/>
        <w:jc w:val="center"/>
        <w:rPr>
          <w:rFonts w:ascii="宋体" w:hAnsi="宋体" w:eastAsia="宋体"/>
          <w:b/>
          <w:color w:val="000000"/>
          <w:sz w:val="84"/>
          <w:szCs w:val="84"/>
        </w:rPr>
      </w:pPr>
      <w:r>
        <w:rPr>
          <w:rFonts w:hint="eastAsia" w:ascii="宋体" w:hAnsi="宋体" w:eastAsia="宋体"/>
          <w:b/>
          <w:color w:val="000000"/>
          <w:sz w:val="84"/>
          <w:szCs w:val="84"/>
        </w:rPr>
        <w:t>理</w:t>
      </w:r>
    </w:p>
    <w:p>
      <w:pPr>
        <w:spacing w:line="400" w:lineRule="atLeast"/>
        <w:jc w:val="center"/>
        <w:rPr>
          <w:rFonts w:ascii="宋体" w:hAnsi="宋体" w:eastAsia="宋体"/>
          <w:b/>
          <w:color w:val="000000"/>
          <w:sz w:val="84"/>
          <w:szCs w:val="84"/>
        </w:rPr>
      </w:pPr>
      <w:r>
        <w:rPr>
          <w:rFonts w:hint="eastAsia" w:ascii="宋体" w:hAnsi="宋体" w:eastAsia="宋体"/>
          <w:b/>
          <w:color w:val="000000"/>
          <w:sz w:val="84"/>
          <w:szCs w:val="84"/>
        </w:rPr>
        <w:t>制</w:t>
      </w:r>
    </w:p>
    <w:p>
      <w:pPr>
        <w:spacing w:line="400" w:lineRule="atLeast"/>
        <w:jc w:val="center"/>
        <w:rPr>
          <w:rFonts w:ascii="宋体" w:hAnsi="宋体" w:eastAsia="宋体"/>
          <w:b/>
          <w:sz w:val="84"/>
          <w:szCs w:val="84"/>
        </w:rPr>
      </w:pPr>
      <w:r>
        <w:rPr>
          <w:rFonts w:hint="eastAsia" w:ascii="宋体" w:hAnsi="宋体" w:eastAsia="宋体"/>
          <w:b/>
          <w:color w:val="000000"/>
          <w:sz w:val="84"/>
          <w:szCs w:val="84"/>
        </w:rPr>
        <w:t>度</w:t>
      </w:r>
    </w:p>
    <w:p>
      <w:pPr>
        <w:rPr>
          <w:rFonts w:hint="eastAsia" w:ascii="宋体"/>
          <w:b/>
          <w:sz w:val="56"/>
          <w:szCs w:val="84"/>
        </w:rPr>
      </w:pPr>
    </w:p>
    <w:p/>
    <w:p>
      <w:pPr>
        <w:numPr>
          <w:ilvl w:val="0"/>
          <w:numId w:val="1"/>
        </w:numPr>
        <w:spacing w:beforeLines="50" w:afterLines="50" w:line="540" w:lineRule="exact"/>
        <w:jc w:val="center"/>
        <w:rPr>
          <w:rFonts w:ascii="华文楷体" w:hAnsi="华文楷体" w:eastAsia="华文楷体" w:cs="华文楷体"/>
          <w:b/>
          <w:sz w:val="24"/>
        </w:rPr>
      </w:pPr>
      <w:r>
        <w:rPr>
          <w:rFonts w:hint="eastAsia" w:ascii="华文楷体" w:hAnsi="华文楷体" w:eastAsia="华文楷体" w:cs="华文楷体"/>
          <w:b/>
          <w:sz w:val="24"/>
        </w:rPr>
        <w:t>目的</w:t>
      </w:r>
    </w:p>
    <w:p>
      <w:pPr>
        <w:spacing w:line="540" w:lineRule="exact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 xml:space="preserve">    第一条  依据国家劳动法规，规避和预防违反劳动用工法律法规，制订劳动关系管理制度。</w:t>
      </w:r>
    </w:p>
    <w:p>
      <w:pPr>
        <w:numPr>
          <w:ilvl w:val="0"/>
          <w:numId w:val="1"/>
        </w:numPr>
        <w:spacing w:beforeLines="50" w:afterLines="50" w:line="540" w:lineRule="exact"/>
        <w:jc w:val="center"/>
        <w:rPr>
          <w:rFonts w:ascii="华文楷体" w:hAnsi="华文楷体" w:eastAsia="华文楷体" w:cs="华文楷体"/>
          <w:b/>
          <w:sz w:val="24"/>
        </w:rPr>
      </w:pPr>
      <w:r>
        <w:rPr>
          <w:rFonts w:hint="eastAsia" w:ascii="华文楷体" w:hAnsi="华文楷体" w:eastAsia="华文楷体" w:cs="华文楷体"/>
          <w:b/>
          <w:sz w:val="24"/>
        </w:rPr>
        <w:t>试用期</w:t>
      </w:r>
    </w:p>
    <w:p>
      <w:pPr>
        <w:pStyle w:val="12"/>
        <w:spacing w:line="540" w:lineRule="exact"/>
        <w:ind w:firstLine="48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 xml:space="preserve">第二条 </w:t>
      </w:r>
      <w:r>
        <w:rPr>
          <w:rFonts w:hint="eastAsia" w:ascii="华文楷体" w:hAnsi="华文楷体" w:eastAsia="华文楷体" w:cs="华文楷体"/>
          <w:color w:val="000000"/>
          <w:sz w:val="24"/>
        </w:rPr>
        <w:t>被录用者在试用时</w:t>
      </w:r>
      <w:r>
        <w:rPr>
          <w:rFonts w:hint="eastAsia" w:ascii="华文楷体" w:hAnsi="华文楷体" w:eastAsia="华文楷体" w:cs="华文楷体"/>
          <w:sz w:val="24"/>
        </w:rPr>
        <w:t>需填写“慧灵员工入职表”（见附件2-1）；并需</w:t>
      </w:r>
      <w:r>
        <w:rPr>
          <w:rFonts w:hint="eastAsia" w:ascii="华文楷体" w:hAnsi="华文楷体" w:eastAsia="华文楷体" w:cs="华文楷体"/>
          <w:color w:val="000000"/>
          <w:sz w:val="24"/>
        </w:rPr>
        <w:t>递</w:t>
      </w:r>
      <w:r>
        <w:rPr>
          <w:rFonts w:hint="eastAsia" w:ascii="华文楷体" w:hAnsi="华文楷体" w:eastAsia="华文楷体" w:cs="华文楷体"/>
          <w:sz w:val="24"/>
        </w:rPr>
        <w:t>交身份证、户口本、暂住证、学历证、体检证明、健康证明（根据岗位需求，如厨工等）、离职证明、退休证（返聘退休人员需提供）或相关资格证等资料原件及复印件、两寸免冠照片两张。</w:t>
      </w:r>
    </w:p>
    <w:p>
      <w:pPr>
        <w:pStyle w:val="12"/>
        <w:spacing w:line="540" w:lineRule="exact"/>
        <w:ind w:firstLine="0" w:firstLineChars="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 xml:space="preserve">    第三条 试用时间一般设定为1-2个月，表现优秀者可申请提前转正。</w:t>
      </w:r>
    </w:p>
    <w:p>
      <w:pPr>
        <w:pStyle w:val="12"/>
        <w:spacing w:line="540" w:lineRule="exact"/>
        <w:ind w:firstLine="0" w:firstLineChars="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 xml:space="preserve">    第四条 试用期间与新员工签订劳动合同，试用期间按基本工资加岗位工资80%领取，并购买社保。其</w:t>
      </w:r>
      <w:r>
        <w:rPr>
          <w:rFonts w:hint="eastAsia" w:ascii="华文楷体" w:hAnsi="华文楷体" w:eastAsia="华文楷体" w:cs="华文楷体"/>
          <w:sz w:val="24"/>
          <w:u w:val="single" w:color="FFFFFF"/>
        </w:rPr>
        <w:t>它</w:t>
      </w:r>
      <w:r>
        <w:rPr>
          <w:rFonts w:hint="eastAsia" w:ascii="华文楷体" w:hAnsi="华文楷体" w:eastAsia="华文楷体" w:cs="华文楷体"/>
          <w:sz w:val="24"/>
        </w:rPr>
        <w:t>福利各省/直辖市慧灵按实际状况自行制定执行。</w:t>
      </w:r>
    </w:p>
    <w:p>
      <w:pPr>
        <w:pStyle w:val="12"/>
        <w:spacing w:line="540" w:lineRule="exact"/>
        <w:ind w:left="359" w:leftChars="171" w:firstLine="120" w:firstLineChars="5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第五条 试用期满双方同意办理转正手续时,由本人</w:t>
      </w:r>
      <w:r>
        <w:rPr>
          <w:rFonts w:hint="eastAsia" w:ascii="华文楷体" w:hAnsi="华文楷体" w:eastAsia="华文楷体" w:cs="华文楷体"/>
          <w:color w:val="000000"/>
          <w:sz w:val="24"/>
          <w:u w:val="single" w:color="FFFFFF"/>
        </w:rPr>
        <w:t>递交</w:t>
      </w:r>
      <w:r>
        <w:rPr>
          <w:rFonts w:hint="eastAsia" w:ascii="华文楷体" w:hAnsi="华文楷体" w:eastAsia="华文楷体" w:cs="华文楷体"/>
          <w:sz w:val="24"/>
        </w:rPr>
        <w:t>转正申请，试用</w:t>
      </w:r>
    </w:p>
    <w:p>
      <w:pPr>
        <w:pStyle w:val="12"/>
        <w:spacing w:line="540" w:lineRule="exact"/>
        <w:ind w:firstLine="0" w:firstLineChars="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期间的直接领导写出初步转正意见、注明转正岗位后</w:t>
      </w:r>
      <w:r>
        <w:rPr>
          <w:rFonts w:hint="eastAsia" w:ascii="华文楷体" w:hAnsi="华文楷体" w:eastAsia="华文楷体" w:cs="华文楷体"/>
          <w:color w:val="000000"/>
          <w:sz w:val="24"/>
        </w:rPr>
        <w:t>递</w:t>
      </w:r>
      <w:r>
        <w:rPr>
          <w:rFonts w:hint="eastAsia" w:ascii="华文楷体" w:hAnsi="华文楷体" w:eastAsia="华文楷体" w:cs="华文楷体"/>
          <w:sz w:val="24"/>
        </w:rPr>
        <w:t>交省/直辖市行政部审核。</w:t>
      </w:r>
    </w:p>
    <w:p>
      <w:pPr>
        <w:pStyle w:val="12"/>
        <w:spacing w:line="540" w:lineRule="exact"/>
        <w:ind w:firstLine="0" w:firstLineChars="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 xml:space="preserve">    第六条 入职一个月内由省/直辖市行政部与员工本人签订《劳动合同》（附件1-3）。</w:t>
      </w:r>
    </w:p>
    <w:p>
      <w:pPr>
        <w:pStyle w:val="12"/>
        <w:spacing w:line="540" w:lineRule="exact"/>
        <w:ind w:firstLine="0" w:firstLineChars="0"/>
        <w:rPr>
          <w:rFonts w:hint="eastAsia"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 xml:space="preserve">    第七条 省/直辖市行政部为员工建立人事档案。</w:t>
      </w:r>
    </w:p>
    <w:p>
      <w:pPr>
        <w:pStyle w:val="12"/>
        <w:spacing w:line="540" w:lineRule="exact"/>
        <w:ind w:firstLine="48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第八条 人事档案一式两份，省/直辖市办公室存档一份、各个案中心存档一份。</w:t>
      </w:r>
    </w:p>
    <w:p>
      <w:pPr>
        <w:pStyle w:val="12"/>
        <w:numPr>
          <w:ilvl w:val="0"/>
          <w:numId w:val="1"/>
        </w:numPr>
        <w:spacing w:beforeLines="50" w:line="540" w:lineRule="exact"/>
        <w:ind w:firstLineChars="0"/>
        <w:jc w:val="center"/>
        <w:rPr>
          <w:rFonts w:ascii="华文楷体" w:hAnsi="华文楷体" w:eastAsia="华文楷体" w:cs="华文楷体"/>
          <w:b/>
          <w:sz w:val="24"/>
        </w:rPr>
      </w:pPr>
      <w:r>
        <w:rPr>
          <w:rFonts w:hint="eastAsia" w:ascii="华文楷体" w:hAnsi="华文楷体" w:eastAsia="华文楷体" w:cs="华文楷体"/>
          <w:b/>
          <w:sz w:val="24"/>
        </w:rPr>
        <w:t>保险事项</w:t>
      </w:r>
    </w:p>
    <w:p>
      <w:pPr>
        <w:pStyle w:val="12"/>
        <w:spacing w:line="540" w:lineRule="exact"/>
        <w:ind w:firstLine="480"/>
        <w:rPr>
          <w:rFonts w:ascii="华文楷体" w:hAnsi="华文楷体" w:eastAsia="华文楷体" w:cs="华文楷体"/>
          <w:color w:val="FF0000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第九条 根据劳动法：新员工</w:t>
      </w:r>
      <w:r>
        <w:rPr>
          <w:rFonts w:hint="eastAsia" w:ascii="华文楷体" w:hAnsi="华文楷体" w:eastAsia="华文楷体" w:cs="华文楷体"/>
          <w:color w:val="000000"/>
          <w:sz w:val="24"/>
          <w:u w:val="single" w:color="FFFFFF"/>
        </w:rPr>
        <w:t>在</w:t>
      </w:r>
      <w:r>
        <w:rPr>
          <w:rFonts w:hint="eastAsia" w:ascii="华文楷体" w:hAnsi="华文楷体" w:eastAsia="华文楷体" w:cs="华文楷体"/>
          <w:sz w:val="24"/>
        </w:rPr>
        <w:t>正式入职一个月内</w:t>
      </w:r>
      <w:r>
        <w:rPr>
          <w:rFonts w:hint="eastAsia" w:ascii="华文楷体" w:hAnsi="华文楷体" w:eastAsia="华文楷体" w:cs="华文楷体"/>
          <w:color w:val="000000"/>
          <w:sz w:val="24"/>
        </w:rPr>
        <w:t>需</w:t>
      </w:r>
      <w:r>
        <w:rPr>
          <w:rFonts w:hint="eastAsia" w:ascii="华文楷体" w:hAnsi="华文楷体" w:eastAsia="华文楷体" w:cs="华文楷体"/>
          <w:sz w:val="24"/>
        </w:rPr>
        <w:t>签订劳动合同（包含试用期）、并自试用期开始购买相应的社会保险（五险）</w:t>
      </w:r>
      <w:r>
        <w:rPr>
          <w:rFonts w:hint="eastAsia" w:ascii="华文楷体" w:hAnsi="华文楷体" w:eastAsia="华文楷体" w:cs="华文楷体"/>
          <w:color w:val="000000"/>
          <w:sz w:val="24"/>
        </w:rPr>
        <w:t>.</w:t>
      </w:r>
    </w:p>
    <w:p>
      <w:pPr>
        <w:pStyle w:val="12"/>
        <w:spacing w:line="540" w:lineRule="exact"/>
        <w:ind w:firstLine="48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第十条 凡在本机构任职，但不在本机构购买社保的员工，需</w:t>
      </w:r>
      <w:r>
        <w:rPr>
          <w:rFonts w:hint="eastAsia" w:ascii="华文楷体" w:hAnsi="华文楷体" w:eastAsia="华文楷体" w:cs="华文楷体"/>
          <w:color w:val="000000"/>
          <w:sz w:val="24"/>
          <w:u w:val="single" w:color="FFFFFF"/>
        </w:rPr>
        <w:t>递</w:t>
      </w:r>
      <w:r>
        <w:rPr>
          <w:rFonts w:hint="eastAsia" w:ascii="华文楷体" w:hAnsi="华文楷体" w:eastAsia="华文楷体" w:cs="华文楷体"/>
          <w:sz w:val="24"/>
        </w:rPr>
        <w:t>交在外单位或自行购买社保的凭证。</w:t>
      </w:r>
    </w:p>
    <w:p>
      <w:pPr>
        <w:pStyle w:val="12"/>
        <w:spacing w:line="540" w:lineRule="exact"/>
        <w:ind w:firstLineChars="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第十一条  返聘员工和实习生均需购买短期或年度商业意外保险。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964" w:right="1418" w:bottom="964" w:left="1418" w:header="567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GB P Mincho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Quad Arrow 3" o:spid="_x0000_s1027" type="#_x0000_t202" style="position:absolute;left:0;margin-left:445.55pt;margin-top:14.25pt;height:10.35pt;width:4.55pt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>宗旨：推广社区化服务模式，提高智障人士生活品质</w:t>
    </w:r>
  </w:p>
  <w:p>
    <w:pPr>
      <w:pStyle w:val="5"/>
      <w:ind w:right="360"/>
    </w:pPr>
    <w:r>
      <w:rPr>
        <w:rFonts w:hint="eastAsia"/>
      </w:rPr>
      <w:t>远景：智障人士平等参与社区建设，共享社会文明成果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vAnchor="text" w:hAnchor="margin" w:xAlign="center" w:y="1"/>
      <w:rPr>
        <w:rStyle w:val="10"/>
        <w:sz w:val="21"/>
        <w:szCs w:val="24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5" o:spid="_x0000_s1028" type="#_x0000_t202" style="position:absolute;left:0;margin-left:442.6pt;margin-top:18pt;height:10.35pt;width:4.55pt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  <w:r>
      <w:t>---------------------------------------------------------------------------------------------------------------------------------------------------</w:t>
    </w:r>
    <w:r>
      <w:rPr>
        <w:rFonts w:hint="eastAsia"/>
      </w:rPr>
      <w:t>宗旨：推广社区化服务模式，提高智障人士生活品质</w:t>
    </w:r>
  </w:p>
  <w:p>
    <w:pPr>
      <w:pStyle w:val="5"/>
    </w:pPr>
    <w:r>
      <w:rPr>
        <w:rFonts w:hint="eastAsia"/>
      </w:rPr>
      <w:t>远景：智障人士平等参与社区建设，共享社会文明成果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ind w:right="480"/>
      <w:rPr>
        <w:rFonts w:hint="eastAsia" w:eastAsia="宋体"/>
        <w:i/>
        <w:sz w:val="24"/>
        <w:lang w:eastAsia="zh-CN"/>
      </w:rPr>
    </w:pPr>
    <w:r>
      <w:rPr>
        <w:rFonts w:ascii="Century" w:hAnsi="Century" w:eastAsia="MS Mincho" w:cs="Times New Roman"/>
        <w:kern w:val="2"/>
        <w:sz w:val="21"/>
        <w:szCs w:val="24"/>
        <w:lang w:val="en-US" w:eastAsia="zh-CN" w:bidi="ar-SA"/>
      </w:rPr>
      <w:pict>
        <v:shape id="Picture 2" o:spid="_x0000_s1025" type="#_x0000_t75" style="height:45pt;width:45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 w:cs="宋体"/>
        <w:kern w:val="0"/>
      </w:rPr>
      <w:t>慧灵（中国）智障人士服务机构</w:t>
    </w:r>
    <w:r>
      <w:rPr>
        <w:rFonts w:hint="eastAsia" w:ascii="华文楷体" w:hAnsi="华文楷体" w:eastAsia="华文楷体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rFonts w:ascii="华文楷体" w:hAnsi="华文楷体" w:eastAsia="华文楷体" w:cs="华文楷体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  <w:r>
      <w:rPr>
        <w:rFonts w:ascii="Century" w:hAnsi="Century" w:eastAsia="MS Mincho" w:cs="Times New Roman"/>
        <w:kern w:val="2"/>
        <w:sz w:val="21"/>
        <w:szCs w:val="24"/>
        <w:lang w:val="en-US" w:eastAsia="zh-CN" w:bidi="ar-SA"/>
      </w:rPr>
      <w:pict>
        <v:shape id="图片 9" o:spid="_x0000_s1026" type="#_x0000_t75" style="height:45pt;width:45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 w:cs="宋体"/>
        <w:kern w:val="0"/>
      </w:rPr>
      <w:t>慧灵（中国）智障人士服务机构</w:t>
    </w:r>
    <w:r>
      <w:rPr>
        <w:rFonts w:hint="eastAsia" w:ascii="华文楷体" w:hAnsi="华文楷体" w:eastAsia="华文楷体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18641577">
    <w:nsid w:val="42AD1DA9"/>
    <w:multiLevelType w:val="multilevel"/>
    <w:tmpl w:val="42AD1DA9"/>
    <w:lvl w:ilvl="0" w:tentative="1">
      <w:start w:val="1"/>
      <w:numFmt w:val="japaneseCounting"/>
      <w:lvlText w:val="第%1章"/>
      <w:lvlJc w:val="left"/>
      <w:pPr>
        <w:ind w:left="1440" w:hanging="1440"/>
      </w:pPr>
      <w:rPr>
        <w:rFonts w:hint="default" w:cs="Times New Roman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1186415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341A0"/>
    <w:rsid w:val="00045CFC"/>
    <w:rsid w:val="002B3D3A"/>
    <w:rsid w:val="002F1296"/>
    <w:rsid w:val="003E7E7E"/>
    <w:rsid w:val="003F678F"/>
    <w:rsid w:val="004033AB"/>
    <w:rsid w:val="00413F69"/>
    <w:rsid w:val="004615D1"/>
    <w:rsid w:val="00491BEF"/>
    <w:rsid w:val="00546F4E"/>
    <w:rsid w:val="00563E30"/>
    <w:rsid w:val="006634F8"/>
    <w:rsid w:val="006950EB"/>
    <w:rsid w:val="006E3892"/>
    <w:rsid w:val="007055C2"/>
    <w:rsid w:val="007D7A5D"/>
    <w:rsid w:val="00837D22"/>
    <w:rsid w:val="00864563"/>
    <w:rsid w:val="00912EA8"/>
    <w:rsid w:val="009341A0"/>
    <w:rsid w:val="00A34BC9"/>
    <w:rsid w:val="00A8220C"/>
    <w:rsid w:val="00AA516E"/>
    <w:rsid w:val="00AE1B11"/>
    <w:rsid w:val="00B50428"/>
    <w:rsid w:val="00B772E3"/>
    <w:rsid w:val="00B923CA"/>
    <w:rsid w:val="00BD749B"/>
    <w:rsid w:val="00C0244E"/>
    <w:rsid w:val="00C43700"/>
    <w:rsid w:val="00C7653B"/>
    <w:rsid w:val="00CC2248"/>
    <w:rsid w:val="00D16298"/>
    <w:rsid w:val="00D24744"/>
    <w:rsid w:val="00D2517F"/>
    <w:rsid w:val="00D83851"/>
    <w:rsid w:val="00DE4E2C"/>
    <w:rsid w:val="00E5233F"/>
    <w:rsid w:val="00EA243B"/>
    <w:rsid w:val="00EF1698"/>
    <w:rsid w:val="00F27D9B"/>
    <w:rsid w:val="00F35E1B"/>
    <w:rsid w:val="00F93B6F"/>
    <w:rsid w:val="0BFF3433"/>
    <w:rsid w:val="23D33C41"/>
    <w:rsid w:val="60182DAC"/>
    <w:rsid w:val="6A720128"/>
    <w:rsid w:val="7EA53149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unhideWhenUsed="0" w:uiPriority="99" w:semiHidden="0" w:name="header"/>
    <w:lsdException w:unhideWhenUsed="0" w:uiPriority="99" w:semiHidden="0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nhideWhenUsed="0" w:uiPriority="99" w:semiHidden="0" w:name="page number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uiPriority="1" w:semiHidden="0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nhideWhenUsed="0" w:uiPriority="99" w:semiHidden="0" w:name="Date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nhideWhenUsed="0" w:uiPriority="99" w:semiHidden="0" w:name="Body Text Indent 2"/>
    <w:lsdException w:unhideWhenUsed="0" w:uiPriority="99" w:semiHidden="0" w:name="Body Text Indent 3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unhideWhenUsed="0" w:uiPriority="99" w:semiHidden="0" w:name="Normal (Web)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semiHidden="0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nhideWhenUsed="0" w:uiPriority="99" w:name="Balloon Text"/>
    <w:lsdException w:unhideWhenUsed="0" w:uiPriority="59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4"/>
    <w:uiPriority w:val="99"/>
    <w:rPr>
      <w:sz w:val="24"/>
      <w:szCs w:val="20"/>
    </w:rPr>
  </w:style>
  <w:style w:type="paragraph" w:styleId="3">
    <w:name w:val="Body Text Indent 2"/>
    <w:basedOn w:val="1"/>
    <w:link w:val="15"/>
    <w:uiPriority w:val="99"/>
    <w:pPr>
      <w:spacing w:after="120" w:line="480" w:lineRule="auto"/>
      <w:ind w:left="420" w:leftChars="200"/>
    </w:pPr>
  </w:style>
  <w:style w:type="paragraph" w:styleId="4">
    <w:name w:val="Balloon Text"/>
    <w:basedOn w:val="1"/>
    <w:link w:val="16"/>
    <w:semiHidden/>
    <w:uiPriority w:val="99"/>
    <w:rPr>
      <w:sz w:val="18"/>
      <w:szCs w:val="18"/>
    </w:rPr>
  </w:style>
  <w:style w:type="paragraph" w:styleId="5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iPriority w:val="99"/>
    <w:pPr>
      <w:tabs>
        <w:tab w:val="center" w:pos="4252"/>
        <w:tab w:val="right" w:pos="8504"/>
      </w:tabs>
      <w:snapToGrid w:val="0"/>
    </w:pPr>
    <w:rPr>
      <w:rFonts w:ascii="Century" w:hAnsi="Century" w:eastAsia="MS Mincho"/>
      <w:lang w:eastAsia="ja-JP"/>
    </w:rPr>
  </w:style>
  <w:style w:type="paragraph" w:styleId="7">
    <w:name w:val="Body Text Indent 3"/>
    <w:basedOn w:val="1"/>
    <w:link w:val="19"/>
    <w:uiPriority w:val="99"/>
    <w:pPr>
      <w:ind w:left="2" w:firstLine="478" w:firstLineChars="199"/>
    </w:pPr>
    <w:rPr>
      <w:rFonts w:ascii="Century" w:hAnsi="Century" w:eastAsia="GB P Mincho"/>
      <w:sz w:val="24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uiPriority w:val="99"/>
    <w:rPr>
      <w:rFonts w:cs="Times New Roman"/>
    </w:rPr>
  </w:style>
  <w:style w:type="paragraph" w:customStyle="1" w:styleId="12">
    <w:name w:val="列出段落1"/>
    <w:basedOn w:val="1"/>
    <w:uiPriority w:val="99"/>
    <w:pPr>
      <w:ind w:firstLine="420" w:firstLineChars="200"/>
    </w:pPr>
  </w:style>
  <w:style w:type="paragraph" w:customStyle="1" w:styleId="13">
    <w:name w:val="MTDisplayEquation"/>
    <w:basedOn w:val="7"/>
    <w:next w:val="1"/>
    <w:link w:val="20"/>
    <w:uiPriority w:val="99"/>
    <w:pPr>
      <w:tabs>
        <w:tab w:val="center" w:pos="4480"/>
        <w:tab w:val="right" w:pos="8960"/>
      </w:tabs>
      <w:spacing w:line="360" w:lineRule="auto"/>
      <w:ind w:left="0" w:firstLine="560" w:firstLineChars="200"/>
    </w:pPr>
    <w:rPr>
      <w:rFonts w:ascii="仿宋_GB2312" w:hAnsi="宋体" w:eastAsia="仿宋_GB2312"/>
      <w:sz w:val="28"/>
      <w:szCs w:val="20"/>
    </w:rPr>
  </w:style>
  <w:style w:type="character" w:customStyle="1" w:styleId="14">
    <w:name w:val="日期 Char"/>
    <w:basedOn w:val="9"/>
    <w:link w:val="2"/>
    <w:locked/>
    <w:uiPriority w:val="99"/>
    <w:rPr>
      <w:rFonts w:cs="Times New Roman"/>
      <w:kern w:val="2"/>
      <w:sz w:val="24"/>
    </w:rPr>
  </w:style>
  <w:style w:type="character" w:customStyle="1" w:styleId="15">
    <w:name w:val="正文文本缩进 2 Char"/>
    <w:basedOn w:val="9"/>
    <w:link w:val="3"/>
    <w:semiHidden/>
    <w:locked/>
    <w:uiPriority w:val="99"/>
    <w:rPr>
      <w:rFonts w:cs="Times New Roman"/>
      <w:sz w:val="24"/>
      <w:szCs w:val="24"/>
    </w:rPr>
  </w:style>
  <w:style w:type="character" w:customStyle="1" w:styleId="16">
    <w:name w:val="批注框文本 Char"/>
    <w:basedOn w:val="9"/>
    <w:link w:val="4"/>
    <w:semiHidden/>
    <w:locked/>
    <w:uiPriority w:val="99"/>
    <w:rPr>
      <w:rFonts w:cs="Times New Roman"/>
      <w:sz w:val="2"/>
    </w:rPr>
  </w:style>
  <w:style w:type="character" w:customStyle="1" w:styleId="17">
    <w:name w:val="页脚 Char"/>
    <w:basedOn w:val="9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9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9">
    <w:name w:val="正文文本缩进 3 Char"/>
    <w:basedOn w:val="9"/>
    <w:link w:val="7"/>
    <w:locked/>
    <w:uiPriority w:val="99"/>
    <w:rPr>
      <w:rFonts w:ascii="Century" w:hAnsi="Century" w:eastAsia="GB P Mincho" w:cs="Times New Roman"/>
      <w:kern w:val="2"/>
      <w:sz w:val="24"/>
    </w:rPr>
  </w:style>
  <w:style w:type="character" w:customStyle="1" w:styleId="20">
    <w:name w:val="MTDisplayEquation Char"/>
    <w:link w:val="13"/>
    <w:locked/>
    <w:uiPriority w:val="99"/>
    <w:rPr>
      <w:rFonts w:ascii="仿宋_GB2312" w:hAnsi="宋体" w:eastAsia="仿宋_GB2312"/>
      <w:kern w:val="2"/>
      <w:sz w:val="28"/>
    </w:rPr>
  </w:style>
  <w:style w:type="character" w:customStyle="1" w:styleId="21">
    <w:name w:val="apple-converted-space"/>
    <w:basedOn w:val="9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93</Words>
  <Characters>534</Characters>
  <Lines>4</Lines>
  <Paragraphs>1</Paragraphs>
  <ScaleCrop>false</ScaleCrop>
  <LinksUpToDate>false</LinksUpToDate>
  <CharactersWithSpaces>0</CharactersWithSpaces>
  <Application>WPS Office 个人版_9.1.0.4984_{F1E327BC-269C-435d-A152-05C5408002CA}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2014-08-26T02:08:00Z</dcterms:created>
  <dc:creator>微软用户</dc:creator>
  <cp:lastModifiedBy>Administrator</cp:lastModifiedBy>
  <cp:lastPrinted>2014-03-12T02:24:00Z</cp:lastPrinted>
  <dcterms:modified xsi:type="dcterms:W3CDTF">2015-03-01T11:57:54Z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2052-9.1.0.4984</vt:lpwstr>
  </property>
</Properties>
</file>