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sz w:val="24"/>
        </w:rPr>
      </w:pPr>
    </w:p>
    <w:tbl>
      <w:tblPr>
        <w:tblStyle w:val="13"/>
        <w:tblpPr w:leftFromText="180" w:rightFromText="180" w:vertAnchor="text" w:horzAnchor="margin" w:tblpXSpec="right" w:tblpY="201"/>
        <w:tblOverlap w:val="never"/>
        <w:tblW w:w="39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top"/>
          </w:tcPr>
          <w:p>
            <w:pPr>
              <w:spacing w:line="360" w:lineRule="auto"/>
              <w:jc w:val="center"/>
              <w:rPr>
                <w:sz w:val="24"/>
              </w:rPr>
            </w:pPr>
            <w:r>
              <w:rPr>
                <w:rFonts w:hint="eastAsia"/>
                <w:sz w:val="24"/>
              </w:rPr>
              <w:t>批准</w:t>
            </w:r>
          </w:p>
        </w:tc>
        <w:tc>
          <w:tcPr>
            <w:tcW w:w="2381" w:type="dxa"/>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9" w:type="dxa"/>
            <w:gridSpan w:val="2"/>
            <w:vAlign w:val="top"/>
          </w:tcPr>
          <w:p>
            <w:pPr>
              <w:spacing w:line="360" w:lineRule="auto"/>
              <w:rPr>
                <w:sz w:val="24"/>
              </w:rPr>
            </w:pPr>
            <w:r>
              <w:rPr>
                <w:rFonts w:hint="eastAsia"/>
                <w:sz w:val="24"/>
              </w:rPr>
              <w:t>第2版生效日期：</w:t>
            </w:r>
            <w:r>
              <w:rPr>
                <w:sz w:val="24"/>
              </w:rPr>
              <w:t>2015</w:t>
            </w:r>
            <w:r>
              <w:rPr>
                <w:rFonts w:hint="eastAsia"/>
                <w:sz w:val="24"/>
              </w:rPr>
              <w:t>年3月</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9" w:type="dxa"/>
            <w:gridSpan w:val="2"/>
            <w:vAlign w:val="top"/>
          </w:tcPr>
          <w:p>
            <w:pPr>
              <w:spacing w:line="360" w:lineRule="auto"/>
              <w:rPr>
                <w:sz w:val="24"/>
              </w:rPr>
            </w:pPr>
            <w:r>
              <w:rPr>
                <w:rFonts w:hint="eastAsia"/>
                <w:sz w:val="24"/>
              </w:rPr>
              <w:t>文件编号：</w:t>
            </w:r>
            <w:r>
              <w:rPr>
                <w:sz w:val="24"/>
              </w:rPr>
              <w:t>HL –H.R-001</w:t>
            </w:r>
          </w:p>
        </w:tc>
      </w:tr>
    </w:tbl>
    <w:p>
      <w:pPr>
        <w:spacing w:line="400" w:lineRule="atLeast"/>
        <w:rPr>
          <w:rFonts w:ascii="宋体"/>
          <w:b/>
          <w:sz w:val="28"/>
        </w:rPr>
      </w:pPr>
      <w:r>
        <w:rPr>
          <w:rFonts w:ascii="Times New Roman" w:hAnsi="Times New Roman" w:eastAsia="宋体" w:cs="Times New Roman"/>
          <w:kern w:val="2"/>
          <w:sz w:val="21"/>
          <w:szCs w:val="24"/>
          <w:lang w:val="en-US" w:eastAsia="zh-CN" w:bidi="ar-SA"/>
        </w:rPr>
        <w:pict>
          <v:rect id="图片 4" o:spid="_x0000_s1031" alt="慧灵logo.jpg" style="position:absolute;left:0;margin-left:45pt;margin-top:4.25pt;height:58.65pt;width:58.75pt;mso-position-horizontal-relative:page;mso-position-vertical-relative:page;rotation:0f;z-index:251658240;" o:ole="f" fillcolor="#FFFFFF" filled="f" o:preferrelative="t" stroked="f" coordsize="21600,21600">
            <v:fill on="f" color2="#FFFFFF" focus="0%"/>
            <v:imagedata gain="65536f" blacklevel="0f" gamma="0"/>
            <o:lock v:ext="edit" position="f" selection="f" grouping="f" rotation="f" cropping="f" text="f" aspectratio="t"/>
          </v:rect>
        </w:pict>
      </w: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rPr>
          <w:rFonts w:ascii="宋体"/>
          <w:b/>
          <w:sz w:val="28"/>
        </w:rPr>
      </w:pPr>
    </w:p>
    <w:p>
      <w:pPr>
        <w:pStyle w:val="8"/>
        <w:jc w:val="center"/>
        <w:rPr>
          <w:rFonts w:ascii="宋体" w:hAnsi="宋体" w:eastAsia="宋体"/>
          <w:b/>
          <w:color w:val="000000"/>
          <w:sz w:val="84"/>
          <w:szCs w:val="84"/>
        </w:rPr>
      </w:pPr>
      <w:r>
        <w:rPr>
          <w:rFonts w:hint="eastAsia" w:ascii="宋体" w:hAnsi="宋体" w:eastAsia="宋体"/>
          <w:b/>
          <w:color w:val="000000"/>
          <w:sz w:val="84"/>
          <w:szCs w:val="84"/>
        </w:rPr>
        <w:t>招</w:t>
      </w:r>
    </w:p>
    <w:p>
      <w:pPr>
        <w:pStyle w:val="8"/>
        <w:jc w:val="center"/>
        <w:rPr>
          <w:rFonts w:ascii="宋体" w:hAnsi="宋体" w:eastAsia="宋体"/>
          <w:b/>
          <w:color w:val="000000"/>
          <w:sz w:val="84"/>
          <w:szCs w:val="84"/>
        </w:rPr>
      </w:pPr>
      <w:r>
        <w:rPr>
          <w:rFonts w:hint="eastAsia" w:ascii="宋体" w:hAnsi="宋体" w:eastAsia="宋体"/>
          <w:b/>
          <w:color w:val="000000"/>
          <w:sz w:val="84"/>
          <w:szCs w:val="84"/>
        </w:rPr>
        <w:t>聘</w:t>
      </w:r>
    </w:p>
    <w:p>
      <w:pPr>
        <w:pStyle w:val="8"/>
        <w:jc w:val="center"/>
        <w:rPr>
          <w:rFonts w:ascii="宋体" w:hAnsi="宋体" w:eastAsia="宋体"/>
          <w:b/>
          <w:color w:val="000000"/>
          <w:sz w:val="84"/>
          <w:szCs w:val="84"/>
        </w:rPr>
      </w:pPr>
      <w:r>
        <w:rPr>
          <w:rFonts w:hint="eastAsia" w:ascii="宋体" w:hAnsi="宋体" w:eastAsia="宋体"/>
          <w:b/>
          <w:color w:val="000000"/>
          <w:sz w:val="84"/>
          <w:szCs w:val="84"/>
        </w:rPr>
        <w:t>和</w:t>
      </w:r>
    </w:p>
    <w:p>
      <w:pPr>
        <w:pStyle w:val="8"/>
        <w:jc w:val="center"/>
        <w:rPr>
          <w:rFonts w:ascii="宋体" w:hAnsi="宋体" w:eastAsia="宋体"/>
          <w:b/>
          <w:color w:val="000000"/>
          <w:sz w:val="84"/>
          <w:szCs w:val="84"/>
        </w:rPr>
      </w:pPr>
      <w:r>
        <w:rPr>
          <w:rFonts w:hint="eastAsia" w:ascii="宋体" w:hAnsi="宋体" w:eastAsia="宋体"/>
          <w:b/>
          <w:color w:val="000000"/>
          <w:sz w:val="84"/>
          <w:szCs w:val="84"/>
        </w:rPr>
        <w:t>任</w:t>
      </w:r>
    </w:p>
    <w:p>
      <w:pPr>
        <w:pStyle w:val="8"/>
        <w:jc w:val="center"/>
        <w:rPr>
          <w:rFonts w:ascii="宋体" w:hAnsi="宋体" w:eastAsia="宋体"/>
          <w:b/>
          <w:color w:val="000000"/>
          <w:sz w:val="84"/>
          <w:szCs w:val="84"/>
        </w:rPr>
      </w:pPr>
      <w:r>
        <w:rPr>
          <w:rFonts w:hint="eastAsia" w:ascii="宋体" w:hAnsi="宋体" w:eastAsia="宋体"/>
          <w:b/>
          <w:color w:val="000000"/>
          <w:sz w:val="84"/>
          <w:szCs w:val="84"/>
        </w:rPr>
        <w:t>用</w:t>
      </w:r>
    </w:p>
    <w:p>
      <w:pPr>
        <w:pStyle w:val="8"/>
        <w:jc w:val="center"/>
        <w:rPr>
          <w:rFonts w:ascii="宋体" w:hAnsi="宋体" w:eastAsia="宋体"/>
          <w:b/>
          <w:color w:val="000000"/>
          <w:sz w:val="84"/>
          <w:szCs w:val="84"/>
        </w:rPr>
      </w:pPr>
      <w:r>
        <w:rPr>
          <w:rFonts w:hint="eastAsia" w:ascii="宋体" w:hAnsi="宋体" w:eastAsia="宋体"/>
          <w:b/>
          <w:color w:val="000000"/>
          <w:sz w:val="84"/>
          <w:szCs w:val="84"/>
        </w:rPr>
        <w:t>制</w:t>
      </w:r>
    </w:p>
    <w:p>
      <w:pPr>
        <w:pStyle w:val="8"/>
        <w:jc w:val="center"/>
        <w:rPr>
          <w:rFonts w:ascii="MS Mincho" w:hAnsi="MS Mincho" w:eastAsia="GB P Mincho"/>
          <w:b/>
          <w:color w:val="000000"/>
          <w:sz w:val="84"/>
          <w:szCs w:val="84"/>
        </w:rPr>
      </w:pPr>
      <w:r>
        <w:rPr>
          <w:rFonts w:hint="eastAsia" w:ascii="宋体" w:hAnsi="宋体" w:eastAsia="宋体"/>
          <w:b/>
          <w:color w:val="000000"/>
          <w:sz w:val="84"/>
          <w:szCs w:val="84"/>
        </w:rPr>
        <w:t>度</w:t>
      </w:r>
    </w:p>
    <w:p>
      <w:pPr>
        <w:spacing w:line="400" w:lineRule="atLeast"/>
        <w:rPr>
          <w:rFonts w:hint="eastAsia" w:ascii="宋体"/>
          <w:b/>
          <w:sz w:val="56"/>
          <w:szCs w:val="84"/>
        </w:rPr>
      </w:pPr>
    </w:p>
    <w:p>
      <w:pPr>
        <w:spacing w:line="360" w:lineRule="auto"/>
        <w:jc w:val="center"/>
        <w:rPr>
          <w:rFonts w:ascii="宋体"/>
          <w:b/>
          <w:sz w:val="32"/>
          <w:szCs w:val="84"/>
        </w:rPr>
      </w:pPr>
    </w:p>
    <w:p>
      <w:pPr>
        <w:numPr>
          <w:ilvl w:val="0"/>
          <w:numId w:val="1"/>
        </w:numPr>
        <w:spacing w:line="360" w:lineRule="auto"/>
        <w:ind w:left="0"/>
        <w:jc w:val="center"/>
        <w:rPr>
          <w:rFonts w:ascii="华文楷体" w:hAnsi="华文楷体" w:eastAsia="华文楷体" w:cs="华文楷体"/>
          <w:b/>
          <w:sz w:val="24"/>
        </w:rPr>
      </w:pPr>
      <w:r>
        <w:rPr>
          <w:rFonts w:hint="eastAsia" w:ascii="华文楷体" w:hAnsi="华文楷体" w:eastAsia="华文楷体" w:cs="华文楷体"/>
          <w:b/>
          <w:sz w:val="24"/>
        </w:rPr>
        <w:t>目的</w:t>
      </w:r>
    </w:p>
    <w:p>
      <w:pPr>
        <w:spacing w:line="360" w:lineRule="auto"/>
        <w:ind w:firstLine="480" w:firstLineChars="200"/>
        <w:rPr>
          <w:rFonts w:ascii="华文楷体" w:hAnsi="华文楷体" w:eastAsia="华文楷体" w:cs="华文楷体"/>
          <w:sz w:val="24"/>
        </w:rPr>
      </w:pPr>
      <w:r>
        <w:rPr>
          <w:rFonts w:hint="eastAsia" w:ascii="华文楷体" w:hAnsi="华文楷体" w:eastAsia="华文楷体" w:cs="华文楷体"/>
          <w:sz w:val="24"/>
        </w:rPr>
        <w:t>第一条 招聘和任用制度是针对岗位空缺和人员流动而实施的有效人才储备策略。</w:t>
      </w:r>
    </w:p>
    <w:p>
      <w:pPr>
        <w:numPr>
          <w:ilvl w:val="0"/>
          <w:numId w:val="1"/>
        </w:numPr>
        <w:spacing w:line="360" w:lineRule="auto"/>
        <w:ind w:left="0"/>
        <w:jc w:val="center"/>
        <w:rPr>
          <w:rFonts w:ascii="华文楷体" w:hAnsi="华文楷体" w:eastAsia="华文楷体" w:cs="华文楷体"/>
          <w:b/>
          <w:sz w:val="24"/>
        </w:rPr>
      </w:pPr>
      <w:r>
        <w:rPr>
          <w:rFonts w:hint="eastAsia" w:ascii="华文楷体" w:hAnsi="华文楷体" w:eastAsia="华文楷体" w:cs="华文楷体"/>
          <w:b/>
          <w:sz w:val="24"/>
        </w:rPr>
        <w:t>招聘原则</w:t>
      </w:r>
    </w:p>
    <w:p>
      <w:pPr>
        <w:spacing w:line="360" w:lineRule="auto"/>
        <w:rPr>
          <w:rFonts w:ascii="华文楷体" w:hAnsi="华文楷体" w:eastAsia="华文楷体" w:cs="华文楷体"/>
          <w:color w:val="FF0000"/>
          <w:sz w:val="24"/>
        </w:rPr>
      </w:pPr>
      <w:r>
        <w:rPr>
          <w:rFonts w:hint="eastAsia" w:ascii="华文楷体" w:hAnsi="华文楷体" w:eastAsia="华文楷体" w:cs="华文楷体"/>
          <w:sz w:val="24"/>
        </w:rPr>
        <w:t xml:space="preserve">    第二条 根据省/直辖市慧灵</w:t>
      </w:r>
      <w:r>
        <w:rPr>
          <w:rFonts w:hint="eastAsia" w:ascii="华文楷体" w:hAnsi="华文楷体" w:eastAsia="华文楷体" w:cs="华文楷体"/>
          <w:lang w:eastAsia="zh-CN"/>
        </w:rPr>
        <w:t>（简称各省慧灵）</w:t>
      </w:r>
      <w:r>
        <w:rPr>
          <w:rFonts w:hint="eastAsia" w:ascii="华文楷体" w:hAnsi="华文楷体" w:eastAsia="华文楷体" w:cs="华文楷体"/>
          <w:sz w:val="24"/>
        </w:rPr>
        <w:t>的需求、由</w:t>
      </w:r>
      <w:r>
        <w:rPr>
          <w:rFonts w:hint="eastAsia" w:ascii="华文楷体" w:hAnsi="华文楷体" w:eastAsia="华文楷体" w:cs="华文楷体"/>
          <w:sz w:val="24"/>
          <w:lang w:eastAsia="zh-CN"/>
        </w:rPr>
        <w:t>各</w:t>
      </w:r>
      <w:r>
        <w:rPr>
          <w:rFonts w:hint="eastAsia" w:ascii="华文楷体" w:hAnsi="华文楷体" w:eastAsia="华文楷体" w:cs="华文楷体"/>
          <w:sz w:val="24"/>
        </w:rPr>
        <w:t>省慧灵安排招聘工作。</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 xml:space="preserve">    第三条 招聘广告内容需注明招聘岗位及岗位职责、上班时间、薪酬待遇、任职资格。</w:t>
      </w:r>
    </w:p>
    <w:p>
      <w:pPr>
        <w:numPr>
          <w:ilvl w:val="0"/>
          <w:numId w:val="1"/>
        </w:numPr>
        <w:spacing w:line="360" w:lineRule="auto"/>
        <w:ind w:left="0"/>
        <w:jc w:val="center"/>
        <w:rPr>
          <w:rFonts w:ascii="华文楷体" w:hAnsi="华文楷体" w:eastAsia="华文楷体" w:cs="华文楷体"/>
          <w:b/>
          <w:sz w:val="24"/>
        </w:rPr>
      </w:pPr>
      <w:r>
        <w:rPr>
          <w:rFonts w:hint="eastAsia" w:ascii="华文楷体" w:hAnsi="华文楷体" w:eastAsia="华文楷体" w:cs="华文楷体"/>
          <w:b/>
          <w:sz w:val="24"/>
        </w:rPr>
        <w:t>招聘</w:t>
      </w:r>
    </w:p>
    <w:p>
      <w:pPr>
        <w:spacing w:line="360" w:lineRule="auto"/>
        <w:ind w:firstLine="480" w:firstLineChars="200"/>
        <w:rPr>
          <w:rFonts w:ascii="华文楷体" w:hAnsi="华文楷体" w:eastAsia="华文楷体" w:cs="华文楷体"/>
          <w:color w:val="000000"/>
          <w:sz w:val="24"/>
        </w:rPr>
      </w:pPr>
      <w:r>
        <w:rPr>
          <w:rFonts w:hint="eastAsia" w:ascii="华文楷体" w:hAnsi="华文楷体" w:eastAsia="华文楷体" w:cs="华文楷体"/>
          <w:color w:val="000000"/>
          <w:sz w:val="24"/>
        </w:rPr>
        <w:t>第四条 要求应聘者在面试时带齐个人简历和相关证件的原件。</w:t>
      </w:r>
    </w:p>
    <w:p>
      <w:pPr>
        <w:spacing w:line="360" w:lineRule="auto"/>
        <w:ind w:firstLine="480" w:firstLineChars="200"/>
        <w:rPr>
          <w:rFonts w:ascii="华文楷体" w:hAnsi="华文楷体" w:eastAsia="华文楷体" w:cs="华文楷体"/>
          <w:sz w:val="24"/>
        </w:rPr>
      </w:pPr>
      <w:r>
        <w:rPr>
          <w:rFonts w:hint="eastAsia" w:ascii="华文楷体" w:hAnsi="华文楷体" w:eastAsia="华文楷体" w:cs="华文楷体"/>
          <w:sz w:val="24"/>
        </w:rPr>
        <w:t xml:space="preserve">第五条 应聘者在面试过程中需如实回答问话和接受测试（参考附件1-1）。 </w:t>
      </w:r>
      <w:r>
        <w:rPr>
          <w:rFonts w:hint="eastAsia" w:ascii="华文楷体" w:hAnsi="华文楷体" w:eastAsia="华文楷体" w:cs="华文楷体"/>
          <w:color w:val="FF0000"/>
          <w:sz w:val="24"/>
          <w:u w:val="none" w:color="FFFFFF"/>
        </w:rPr>
        <w:t xml:space="preserve">    </w:t>
      </w:r>
    </w:p>
    <w:p>
      <w:pPr>
        <w:pStyle w:val="15"/>
        <w:spacing w:line="360" w:lineRule="auto"/>
        <w:ind w:firstLine="480"/>
        <w:rPr>
          <w:rFonts w:ascii="华文楷体" w:hAnsi="华文楷体" w:eastAsia="华文楷体" w:cs="华文楷体"/>
          <w:sz w:val="24"/>
        </w:rPr>
      </w:pPr>
      <w:r>
        <w:rPr>
          <w:rFonts w:hint="eastAsia" w:ascii="华文楷体" w:hAnsi="华文楷体" w:eastAsia="华文楷体" w:cs="华文楷体"/>
          <w:sz w:val="24"/>
        </w:rPr>
        <w:t>第六条</w:t>
      </w:r>
      <w:r>
        <w:rPr>
          <w:rFonts w:hint="eastAsia" w:ascii="华文楷体" w:hAnsi="华文楷体" w:eastAsia="华文楷体" w:cs="华文楷体"/>
          <w:color w:val="000000"/>
          <w:sz w:val="24"/>
        </w:rPr>
        <w:t xml:space="preserve"> 初试</w:t>
      </w:r>
      <w:r>
        <w:rPr>
          <w:rFonts w:hint="eastAsia" w:ascii="华文楷体" w:hAnsi="华文楷体" w:eastAsia="华文楷体" w:cs="华文楷体"/>
          <w:sz w:val="24"/>
          <w:u w:val="single" w:color="FFFFFF"/>
        </w:rPr>
        <w:t>合格者</w:t>
      </w:r>
      <w:r>
        <w:rPr>
          <w:rFonts w:hint="eastAsia" w:ascii="华文楷体" w:hAnsi="华文楷体" w:eastAsia="华文楷体" w:cs="华文楷体"/>
          <w:sz w:val="24"/>
        </w:rPr>
        <w:t>如实填写《应聘登记表》（见附件1-2），并提供身份证、学历证、及相关资格证等资料原件及复印件。</w:t>
      </w:r>
    </w:p>
    <w:p>
      <w:pPr>
        <w:pStyle w:val="15"/>
        <w:spacing w:line="360" w:lineRule="auto"/>
        <w:ind w:firstLine="480"/>
        <w:rPr>
          <w:rFonts w:ascii="华文楷体" w:hAnsi="华文楷体" w:eastAsia="华文楷体" w:cs="华文楷体"/>
          <w:sz w:val="24"/>
        </w:rPr>
      </w:pPr>
      <w:r>
        <w:rPr>
          <w:rFonts w:hint="eastAsia" w:ascii="华文楷体" w:hAnsi="华文楷体" w:eastAsia="华文楷体" w:cs="华文楷体"/>
          <w:sz w:val="24"/>
        </w:rPr>
        <w:t xml:space="preserve">第七条 </w:t>
      </w:r>
      <w:r>
        <w:rPr>
          <w:rFonts w:hint="eastAsia" w:ascii="华文楷体" w:hAnsi="华文楷体" w:eastAsia="华文楷体" w:cs="华文楷体"/>
          <w:color w:val="000000"/>
          <w:sz w:val="24"/>
        </w:rPr>
        <w:t>应聘者的</w:t>
      </w:r>
      <w:r>
        <w:rPr>
          <w:rFonts w:hint="eastAsia" w:ascii="华文楷体" w:hAnsi="华文楷体" w:eastAsia="华文楷体" w:cs="华文楷体"/>
          <w:sz w:val="24"/>
        </w:rPr>
        <w:t>个人资料</w:t>
      </w:r>
      <w:r>
        <w:rPr>
          <w:rFonts w:hint="eastAsia" w:ascii="华文楷体" w:hAnsi="华文楷体" w:eastAsia="华文楷体" w:cs="华文楷体"/>
          <w:color w:val="000000"/>
          <w:sz w:val="24"/>
        </w:rPr>
        <w:t>如</w:t>
      </w:r>
      <w:r>
        <w:rPr>
          <w:rFonts w:hint="eastAsia" w:ascii="华文楷体" w:hAnsi="华文楷体" w:eastAsia="华文楷体" w:cs="华文楷体"/>
          <w:sz w:val="24"/>
        </w:rPr>
        <w:t>有虚假不实者，不予录用。</w:t>
      </w:r>
    </w:p>
    <w:p>
      <w:pPr>
        <w:pStyle w:val="15"/>
        <w:spacing w:line="360" w:lineRule="auto"/>
        <w:ind w:firstLine="480"/>
        <w:rPr>
          <w:rFonts w:ascii="华文楷体" w:hAnsi="华文楷体" w:eastAsia="华文楷体" w:cs="华文楷体"/>
          <w:color w:val="000000"/>
          <w:sz w:val="24"/>
          <w:u w:val="single" w:color="FF0000"/>
        </w:rPr>
      </w:pPr>
      <w:r>
        <w:rPr>
          <w:rFonts w:hint="eastAsia" w:ascii="华文楷体" w:hAnsi="华文楷体" w:eastAsia="华文楷体" w:cs="华文楷体"/>
          <w:sz w:val="24"/>
        </w:rPr>
        <w:t>第八条 入职人员需认真阅读并认可本单位全部规章制度，</w:t>
      </w:r>
      <w:r>
        <w:rPr>
          <w:rFonts w:hint="eastAsia" w:ascii="华文楷体" w:hAnsi="华文楷体" w:eastAsia="华文楷体" w:cs="华文楷体"/>
          <w:color w:val="000000"/>
          <w:sz w:val="24"/>
          <w:u w:val="single" w:color="FFFFFF"/>
        </w:rPr>
        <w:t>在一周内到指定医院进行体检</w:t>
      </w:r>
      <w:r>
        <w:rPr>
          <w:rFonts w:hint="eastAsia" w:ascii="华文楷体" w:hAnsi="华文楷体" w:eastAsia="华文楷体" w:cs="华文楷体"/>
          <w:color w:val="000000"/>
          <w:sz w:val="24"/>
          <w:u w:val="single" w:color="FFFFFF"/>
          <w:lang w:eastAsia="zh-CN"/>
        </w:rPr>
        <w:t>。</w:t>
      </w:r>
    </w:p>
    <w:p>
      <w:pPr>
        <w:pStyle w:val="2"/>
        <w:rPr>
          <w:rFonts w:hint="eastAsia" w:ascii="华文楷体" w:hAnsi="华文楷体" w:eastAsia="华文楷体" w:cs="华文楷体"/>
          <w:sz w:val="24"/>
        </w:rPr>
      </w:pPr>
      <w:r>
        <w:rPr>
          <w:rFonts w:hint="eastAsia" w:ascii="华文楷体" w:hAnsi="华文楷体" w:eastAsia="华文楷体" w:cs="华文楷体"/>
          <w:sz w:val="24"/>
        </w:rPr>
        <w:t xml:space="preserve">第九条 </w:t>
      </w:r>
      <w:r>
        <w:rPr>
          <w:rFonts w:hint="eastAsia" w:ascii="华文楷体" w:hAnsi="华文楷体" w:eastAsia="华文楷体" w:cs="华文楷体"/>
          <w:color w:val="FF0000"/>
          <w:sz w:val="24"/>
          <w:szCs w:val="24"/>
          <w:lang w:val="en-US" w:eastAsia="zh-CN"/>
        </w:rPr>
        <w:t>试用期原则为1-2个月，</w:t>
      </w:r>
      <w:r>
        <w:rPr>
          <w:rFonts w:hint="eastAsia" w:ascii="华文楷体" w:hAnsi="华文楷体" w:eastAsia="华文楷体" w:cs="华文楷体"/>
          <w:sz w:val="24"/>
          <w:szCs w:val="24"/>
          <w:lang w:val="en-US" w:eastAsia="zh-CN"/>
        </w:rPr>
        <w:t>根据试用期评估结果考虑适当延长试用期</w:t>
      </w:r>
      <w:r>
        <w:rPr>
          <w:rFonts w:hint="eastAsia" w:ascii="华文楷体" w:hAnsi="华文楷体" w:eastAsia="华文楷体" w:cs="华文楷体"/>
          <w:sz w:val="24"/>
          <w:szCs w:val="24"/>
        </w:rPr>
        <w:t>，</w:t>
      </w:r>
      <w:r>
        <w:rPr>
          <w:rFonts w:hint="eastAsia" w:ascii="华文楷体" w:hAnsi="华文楷体" w:eastAsia="华文楷体" w:cs="华文楷体"/>
          <w:color w:val="FF0000"/>
          <w:sz w:val="24"/>
        </w:rPr>
        <w:t>签订</w:t>
      </w:r>
      <w:r>
        <w:rPr>
          <w:rFonts w:hint="eastAsia" w:ascii="华文楷体" w:hAnsi="华文楷体" w:eastAsia="华文楷体" w:cs="华文楷体"/>
          <w:color w:val="FF0000"/>
          <w:sz w:val="24"/>
          <w:lang w:eastAsia="zh-CN"/>
        </w:rPr>
        <w:t>试用期</w:t>
      </w:r>
      <w:r>
        <w:rPr>
          <w:rFonts w:hint="eastAsia" w:ascii="华文楷体" w:hAnsi="华文楷体" w:eastAsia="华文楷体" w:cs="华文楷体"/>
          <w:sz w:val="24"/>
        </w:rPr>
        <w:t>劳动合同（</w:t>
      </w:r>
      <w:r>
        <w:rPr>
          <w:rFonts w:hint="eastAsia" w:ascii="华文楷体" w:hAnsi="华文楷体" w:eastAsia="华文楷体" w:cs="华文楷体"/>
          <w:color w:val="FF0000"/>
          <w:sz w:val="24"/>
          <w:lang w:eastAsia="zh-CN"/>
        </w:rPr>
        <w:t>转正时再签正式合同。</w:t>
      </w:r>
      <w:r>
        <w:rPr>
          <w:rFonts w:hint="eastAsia" w:ascii="华文楷体" w:hAnsi="华文楷体" w:eastAsia="华文楷体" w:cs="华文楷体"/>
          <w:sz w:val="24"/>
        </w:rPr>
        <w:t>见附件1-3），试用期员工按基本工资加岗位工资80%领取。其</w:t>
      </w:r>
      <w:r>
        <w:rPr>
          <w:rFonts w:hint="eastAsia" w:ascii="华文楷体" w:hAnsi="华文楷体" w:eastAsia="华文楷体" w:cs="华文楷体"/>
          <w:sz w:val="24"/>
          <w:u w:val="single" w:color="FFFFFF"/>
        </w:rPr>
        <w:t>它</w:t>
      </w:r>
      <w:r>
        <w:rPr>
          <w:rFonts w:hint="eastAsia" w:ascii="华文楷体" w:hAnsi="华文楷体" w:eastAsia="华文楷体" w:cs="华文楷体"/>
          <w:sz w:val="24"/>
        </w:rPr>
        <w:t>福利各省/直辖市慧灵按实际状况自行制定执行。</w:t>
      </w:r>
    </w:p>
    <w:p>
      <w:pPr>
        <w:pStyle w:val="15"/>
        <w:spacing w:line="360" w:lineRule="auto"/>
        <w:ind w:firstLine="480" w:firstLineChars="200"/>
        <w:rPr>
          <w:rFonts w:hint="eastAsia" w:ascii="华文楷体" w:hAnsi="华文楷体" w:eastAsia="华文楷体" w:cs="华文楷体"/>
          <w:sz w:val="24"/>
        </w:rPr>
      </w:pPr>
      <w:r>
        <w:rPr>
          <w:rFonts w:hint="eastAsia" w:ascii="华文楷体" w:hAnsi="华文楷体" w:eastAsia="华文楷体" w:cs="华文楷体"/>
          <w:sz w:val="24"/>
        </w:rPr>
        <w:t>第十条 试用期满双方同意后办理转正手续，由本人填写转正申请（见附件1-4）、并递交自我评估的书面资料（</w:t>
      </w:r>
      <w:r>
        <w:rPr>
          <w:rFonts w:hint="eastAsia" w:ascii="华文楷体" w:hAnsi="华文楷体" w:eastAsia="华文楷体" w:cs="华文楷体"/>
          <w:sz w:val="24"/>
          <w:lang w:eastAsia="zh-CN"/>
        </w:rPr>
        <w:t>中高层的题目有不同）并接受有关人员参与的</w:t>
      </w:r>
      <w:r>
        <w:rPr>
          <w:rFonts w:hint="eastAsia" w:ascii="华文楷体" w:hAnsi="华文楷体" w:eastAsia="华文楷体" w:cs="华文楷体"/>
          <w:sz w:val="24"/>
        </w:rPr>
        <w:t>评估（见附件1-5）</w:t>
      </w:r>
      <w:r>
        <w:rPr>
          <w:rFonts w:hint="eastAsia" w:ascii="华文楷体" w:hAnsi="华文楷体" w:eastAsia="华文楷体" w:cs="华文楷体"/>
          <w:sz w:val="24"/>
          <w:lang w:eastAsia="zh-CN"/>
        </w:rPr>
        <w:t>，</w:t>
      </w:r>
      <w:r>
        <w:rPr>
          <w:rFonts w:hint="eastAsia" w:ascii="华文楷体" w:hAnsi="华文楷体" w:eastAsia="华文楷体" w:cs="华文楷体"/>
          <w:sz w:val="24"/>
        </w:rPr>
        <w:t>直接主管写出初步转正意见，注明任职岗位，转交行政部审核，最后由行政部写正式转正意见（一式两份）。</w:t>
      </w:r>
    </w:p>
    <w:p>
      <w:pPr>
        <w:pStyle w:val="15"/>
        <w:spacing w:line="360" w:lineRule="auto"/>
        <w:ind w:firstLine="480" w:firstLineChars="200"/>
        <w:rPr>
          <w:rFonts w:hint="eastAsia" w:ascii="华文楷体" w:hAnsi="华文楷体" w:eastAsia="华文楷体" w:cs="华文楷体"/>
          <w:sz w:val="24"/>
          <w:lang w:eastAsia="zh-CN"/>
        </w:rPr>
      </w:pPr>
      <w:r>
        <w:rPr>
          <w:rFonts w:hint="eastAsia" w:ascii="华文楷体" w:hAnsi="华文楷体" w:eastAsia="华文楷体" w:cs="华文楷体"/>
          <w:sz w:val="24"/>
          <w:lang w:eastAsia="zh-CN"/>
        </w:rPr>
        <w:t>第十一条</w:t>
      </w:r>
      <w:r>
        <w:rPr>
          <w:rFonts w:hint="eastAsia" w:ascii="华文楷体" w:hAnsi="华文楷体" w:eastAsia="华文楷体" w:cs="华文楷体"/>
          <w:sz w:val="24"/>
          <w:lang w:val="en-US" w:eastAsia="zh-CN"/>
        </w:rPr>
        <w:t xml:space="preserve"> 应聘一般岗位评估分平均达80分予考虑转正；应聘中高管职务平均分达85分予考虑转正。未达到者双方可协商延长试用再评估。特殊情况可放宽。                                                                                                                         应聘中高层人员需另写一份对所将担任的职务工作之设想方案。</w:t>
      </w:r>
    </w:p>
    <w:p>
      <w:pPr>
        <w:pStyle w:val="15"/>
        <w:spacing w:line="360" w:lineRule="auto"/>
        <w:ind w:firstLine="480" w:firstLineChars="200"/>
        <w:jc w:val="center"/>
        <w:rPr>
          <w:rFonts w:hint="eastAsia" w:ascii="华文楷体" w:hAnsi="华文楷体" w:eastAsia="华文楷体" w:cs="华文楷体"/>
          <w:sz w:val="24"/>
          <w:lang w:eastAsia="zh-CN"/>
        </w:rPr>
      </w:pPr>
      <w:r>
        <w:rPr>
          <w:rFonts w:hint="eastAsia" w:ascii="华文楷体" w:hAnsi="华文楷体" w:eastAsia="华文楷体" w:cs="华文楷体"/>
          <w:sz w:val="24"/>
          <w:lang w:eastAsia="zh-CN"/>
        </w:rPr>
        <w:t>第四章</w:t>
      </w:r>
      <w:r>
        <w:rPr>
          <w:rFonts w:hint="eastAsia" w:ascii="华文楷体" w:hAnsi="华文楷体" w:eastAsia="华文楷体" w:cs="华文楷体"/>
          <w:sz w:val="24"/>
          <w:lang w:val="en-US" w:eastAsia="zh-CN"/>
        </w:rPr>
        <w:t xml:space="preserve"> 聘用和签订合同</w:t>
      </w:r>
    </w:p>
    <w:p>
      <w:pPr>
        <w:pStyle w:val="15"/>
        <w:spacing w:line="360" w:lineRule="auto"/>
        <w:ind w:firstLine="480" w:firstLineChars="200"/>
        <w:rPr>
          <w:rFonts w:hint="eastAsia" w:ascii="华文楷体" w:hAnsi="华文楷体" w:eastAsia="华文楷体" w:cs="华文楷体"/>
          <w:sz w:val="24"/>
        </w:rPr>
      </w:pPr>
      <w:r>
        <w:rPr>
          <w:rFonts w:hint="eastAsia" w:ascii="华文楷体" w:hAnsi="华文楷体" w:eastAsia="华文楷体" w:cs="华文楷体"/>
          <w:sz w:val="24"/>
        </w:rPr>
        <w:t>第十</w:t>
      </w:r>
      <w:r>
        <w:rPr>
          <w:rFonts w:hint="eastAsia" w:ascii="华文楷体" w:hAnsi="华文楷体" w:eastAsia="华文楷体" w:cs="华文楷体"/>
          <w:sz w:val="24"/>
          <w:lang w:eastAsia="zh-CN"/>
        </w:rPr>
        <w:t>二</w:t>
      </w:r>
      <w:r>
        <w:rPr>
          <w:rFonts w:hint="eastAsia" w:ascii="华文楷体" w:hAnsi="华文楷体" w:eastAsia="华文楷体" w:cs="华文楷体"/>
          <w:sz w:val="24"/>
        </w:rPr>
        <w:t>条 劳动合同签订年限双向协商；个人资料虚假或不全者，不予录用。</w:t>
      </w:r>
    </w:p>
    <w:p>
      <w:pPr>
        <w:pStyle w:val="15"/>
        <w:spacing w:line="360" w:lineRule="auto"/>
        <w:ind w:firstLine="480" w:firstLineChars="200"/>
        <w:rPr>
          <w:rFonts w:hint="eastAsia" w:ascii="华文楷体" w:hAnsi="华文楷体" w:eastAsia="华文楷体" w:cs="华文楷体"/>
          <w:sz w:val="24"/>
        </w:rPr>
      </w:pPr>
      <w:r>
        <w:rPr>
          <w:rFonts w:hint="eastAsia" w:ascii="华文楷体" w:hAnsi="华文楷体" w:eastAsia="华文楷体" w:cs="华文楷体"/>
          <w:sz w:val="24"/>
        </w:rPr>
        <w:t>第十二条 转正后按照人力资源薪酬制度和其他福利制度执行。</w:t>
      </w:r>
    </w:p>
    <w:p>
      <w:pPr>
        <w:pStyle w:val="15"/>
        <w:spacing w:line="360" w:lineRule="auto"/>
        <w:ind w:firstLine="480" w:firstLineChars="200"/>
        <w:rPr>
          <w:rFonts w:hint="eastAsia" w:ascii="华文楷体" w:hAnsi="华文楷体" w:eastAsia="华文楷体" w:cs="华文楷体"/>
          <w:sz w:val="24"/>
        </w:rPr>
      </w:pPr>
      <w:r>
        <w:rPr>
          <w:rFonts w:hint="eastAsia" w:ascii="华文楷体" w:hAnsi="华文楷体" w:eastAsia="华文楷体" w:cs="华文楷体"/>
          <w:sz w:val="24"/>
          <w:lang w:eastAsia="zh-CN"/>
        </w:rPr>
        <w:t>第十三条</w:t>
      </w:r>
      <w:r>
        <w:rPr>
          <w:rFonts w:hint="eastAsia" w:ascii="华文楷体" w:hAnsi="华文楷体" w:eastAsia="华文楷体" w:cs="华文楷体"/>
          <w:sz w:val="24"/>
          <w:lang w:val="en-US" w:eastAsia="zh-CN"/>
        </w:rPr>
        <w:t xml:space="preserve"> </w:t>
      </w:r>
      <w:r>
        <w:rPr>
          <w:rFonts w:hint="eastAsia" w:ascii="华文楷体" w:hAnsi="华文楷体" w:eastAsia="华文楷体" w:cs="华文楷体"/>
          <w:sz w:val="24"/>
        </w:rPr>
        <w:t>被聘用者最高年龄限一般为40岁。年龄超40岁者，应评估其购买保险是否符合在国家规定的年限内，如符合，可以聘请。（临工可不受此年龄限，但不得超过55岁）；</w:t>
      </w:r>
    </w:p>
    <w:p>
      <w:pPr>
        <w:pStyle w:val="15"/>
        <w:spacing w:line="360" w:lineRule="auto"/>
        <w:ind w:firstLine="480" w:firstLineChars="200"/>
        <w:rPr>
          <w:rFonts w:ascii="华文楷体" w:hAnsi="华文楷体" w:eastAsia="华文楷体" w:cs="华文楷体"/>
          <w:sz w:val="24"/>
        </w:rPr>
      </w:pPr>
      <w:r>
        <w:rPr>
          <w:rFonts w:hint="eastAsia" w:ascii="华文楷体" w:hAnsi="华文楷体" w:eastAsia="华文楷体" w:cs="华文楷体"/>
          <w:sz w:val="24"/>
          <w:lang w:eastAsia="zh-CN"/>
        </w:rPr>
        <w:t>第十四条</w:t>
      </w:r>
      <w:r>
        <w:rPr>
          <w:rFonts w:hint="eastAsia" w:ascii="华文楷体" w:hAnsi="华文楷体" w:eastAsia="华文楷体" w:cs="华文楷体"/>
          <w:sz w:val="24"/>
          <w:lang w:val="en-US" w:eastAsia="zh-CN"/>
        </w:rPr>
        <w:t xml:space="preserve"> </w:t>
      </w:r>
      <w:r>
        <w:rPr>
          <w:rFonts w:hint="eastAsia" w:ascii="华文楷体" w:hAnsi="华文楷体" w:eastAsia="华文楷体" w:cs="华文楷体"/>
          <w:sz w:val="24"/>
          <w:lang w:eastAsia="zh-CN"/>
        </w:rPr>
        <w:t>退休人员返聘是机构应对人手紧张的临时措施，退休返聘人员劳动合同每年一签。如途中一方有意愿辞职或辞退，应按一般程序提前</w:t>
      </w:r>
      <w:r>
        <w:rPr>
          <w:rFonts w:hint="eastAsia" w:ascii="华文楷体" w:hAnsi="华文楷体" w:eastAsia="华文楷体" w:cs="华文楷体"/>
          <w:sz w:val="24"/>
          <w:lang w:val="en-US" w:eastAsia="zh-CN"/>
        </w:rPr>
        <w:t>30天提出并</w:t>
      </w:r>
      <w:r>
        <w:rPr>
          <w:rFonts w:hint="eastAsia" w:ascii="华文楷体" w:hAnsi="华文楷体" w:eastAsia="华文楷体" w:cs="华文楷体"/>
          <w:sz w:val="24"/>
          <w:lang w:eastAsia="zh-CN"/>
        </w:rPr>
        <w:t>给予办理。</w:t>
      </w:r>
    </w:p>
    <w:p>
      <w:pPr>
        <w:pStyle w:val="15"/>
        <w:numPr>
          <w:numId w:val="0"/>
        </w:numPr>
        <w:spacing w:line="360" w:lineRule="auto"/>
        <w:rPr>
          <w:rFonts w:ascii="华文楷体" w:hAnsi="华文楷体" w:eastAsia="华文楷体" w:cs="华文楷体"/>
          <w:sz w:val="24"/>
        </w:rPr>
      </w:pPr>
      <w:r>
        <w:rPr>
          <w:rFonts w:hint="eastAsia" w:ascii="华文楷体" w:hAnsi="华文楷体" w:eastAsia="华文楷体" w:cs="华文楷体"/>
          <w:sz w:val="24"/>
          <w:lang w:val="en-US" w:eastAsia="zh-CN"/>
        </w:rPr>
        <w:t xml:space="preserve">   </w:t>
      </w:r>
      <w:r>
        <w:rPr>
          <w:rFonts w:hint="eastAsia" w:ascii="华文楷体" w:hAnsi="华文楷体" w:eastAsia="华文楷体" w:cs="华文楷体"/>
          <w:sz w:val="24"/>
          <w:lang w:eastAsia="zh-CN"/>
        </w:rPr>
        <w:t>第十五条</w:t>
      </w:r>
      <w:r>
        <w:rPr>
          <w:rFonts w:hint="eastAsia" w:ascii="华文楷体" w:hAnsi="华文楷体" w:eastAsia="华文楷体" w:cs="华文楷体"/>
          <w:sz w:val="24"/>
          <w:lang w:val="en-US" w:eastAsia="zh-CN"/>
        </w:rPr>
        <w:t xml:space="preserve"> </w:t>
      </w:r>
      <w:r>
        <w:rPr>
          <w:rFonts w:hint="eastAsia" w:ascii="华文楷体" w:hAnsi="华文楷体" w:eastAsia="华文楷体" w:cs="华文楷体"/>
          <w:sz w:val="24"/>
        </w:rPr>
        <w:t>活动组</w:t>
      </w:r>
      <w:r>
        <w:rPr>
          <w:rFonts w:hint="eastAsia" w:ascii="华文楷体" w:hAnsi="华文楷体" w:eastAsia="华文楷体" w:cs="华文楷体"/>
          <w:sz w:val="24"/>
          <w:lang w:eastAsia="zh-CN"/>
        </w:rPr>
        <w:t>导师</w:t>
      </w:r>
      <w:r>
        <w:rPr>
          <w:rFonts w:hint="eastAsia" w:ascii="华文楷体" w:hAnsi="华文楷体" w:eastAsia="华文楷体" w:cs="华文楷体"/>
          <w:sz w:val="24"/>
        </w:rPr>
        <w:t>、专科老师以上职务最低学历需达高中毕业程度。</w:t>
      </w:r>
    </w:p>
    <w:p>
      <w:pPr>
        <w:pStyle w:val="15"/>
        <w:spacing w:line="360" w:lineRule="auto"/>
        <w:ind w:firstLine="0" w:firstLineChars="0"/>
        <w:jc w:val="left"/>
        <w:rPr>
          <w:rFonts w:ascii="华文楷体" w:hAnsi="华文楷体" w:eastAsia="华文楷体" w:cs="华文楷体"/>
          <w:sz w:val="24"/>
        </w:rPr>
      </w:pPr>
      <w:r>
        <w:rPr>
          <w:rFonts w:hint="eastAsia" w:ascii="华文楷体" w:hAnsi="华文楷体" w:eastAsia="华文楷体" w:cs="华文楷体"/>
          <w:sz w:val="24"/>
          <w:lang w:val="en-US" w:eastAsia="zh-CN"/>
        </w:rPr>
        <w:t xml:space="preserve">   </w:t>
      </w:r>
      <w:r>
        <w:rPr>
          <w:rFonts w:hint="eastAsia" w:ascii="华文楷体" w:hAnsi="华文楷体" w:eastAsia="华文楷体" w:cs="华文楷体"/>
          <w:sz w:val="24"/>
        </w:rPr>
        <w:t>第十</w:t>
      </w:r>
      <w:r>
        <w:rPr>
          <w:rFonts w:hint="eastAsia" w:ascii="华文楷体" w:hAnsi="华文楷体" w:eastAsia="华文楷体" w:cs="华文楷体"/>
          <w:sz w:val="24"/>
          <w:lang w:eastAsia="zh-CN"/>
        </w:rPr>
        <w:t>六</w:t>
      </w:r>
      <w:r>
        <w:rPr>
          <w:rFonts w:hint="eastAsia" w:ascii="华文楷体" w:hAnsi="华文楷体" w:eastAsia="华文楷体" w:cs="华文楷体"/>
          <w:sz w:val="24"/>
        </w:rPr>
        <w:t>条 中高层行政人员辞职需提前半年</w:t>
      </w:r>
      <w:r>
        <w:rPr>
          <w:rFonts w:hint="eastAsia" w:ascii="华文楷体" w:hAnsi="华文楷体" w:eastAsia="华文楷体" w:cs="华文楷体"/>
          <w:color w:val="000000"/>
          <w:sz w:val="24"/>
        </w:rPr>
        <w:t>递交</w:t>
      </w:r>
      <w:r>
        <w:rPr>
          <w:rFonts w:hint="eastAsia" w:ascii="华文楷体" w:hAnsi="华文楷体" w:eastAsia="华文楷体" w:cs="华文楷体"/>
          <w:sz w:val="24"/>
        </w:rPr>
        <w:t>申请，待</w:t>
      </w:r>
      <w:r>
        <w:rPr>
          <w:rFonts w:hint="eastAsia" w:ascii="华文楷体" w:hAnsi="华文楷体" w:eastAsia="华文楷体" w:cs="华文楷体"/>
          <w:color w:val="000000"/>
          <w:sz w:val="24"/>
          <w:u w:val="single" w:color="FFFFFF"/>
        </w:rPr>
        <w:t>继任</w:t>
      </w:r>
      <w:r>
        <w:rPr>
          <w:rFonts w:hint="eastAsia" w:ascii="华文楷体" w:hAnsi="华文楷体" w:eastAsia="华文楷体" w:cs="华文楷体"/>
          <w:sz w:val="24"/>
        </w:rPr>
        <w:t>者上岗后方可办理</w:t>
      </w:r>
      <w:r>
        <w:rPr>
          <w:rFonts w:hint="eastAsia" w:ascii="华文楷体" w:hAnsi="华文楷体" w:eastAsia="华文楷体" w:cs="华文楷体"/>
          <w:color w:val="000000"/>
          <w:sz w:val="24"/>
        </w:rPr>
        <w:t>辞职</w:t>
      </w:r>
      <w:r>
        <w:rPr>
          <w:rFonts w:hint="eastAsia" w:ascii="华文楷体" w:hAnsi="华文楷体" w:eastAsia="华文楷体" w:cs="华文楷体"/>
          <w:sz w:val="24"/>
        </w:rPr>
        <w:t>手续；非中高层行政职位的教职工辞职，需提前30天</w:t>
      </w:r>
      <w:r>
        <w:rPr>
          <w:rFonts w:hint="eastAsia" w:ascii="华文楷体" w:hAnsi="华文楷体" w:eastAsia="华文楷体" w:cs="华文楷体"/>
          <w:color w:val="000000"/>
          <w:sz w:val="24"/>
        </w:rPr>
        <w:t>递交</w:t>
      </w:r>
      <w:r>
        <w:rPr>
          <w:rFonts w:hint="eastAsia" w:ascii="华文楷体" w:hAnsi="华文楷体" w:eastAsia="华文楷体" w:cs="华文楷体"/>
          <w:sz w:val="24"/>
        </w:rPr>
        <w:t>书面</w:t>
      </w:r>
      <w:r>
        <w:rPr>
          <w:rFonts w:hint="eastAsia" w:ascii="华文楷体" w:hAnsi="华文楷体" w:eastAsia="华文楷体" w:cs="华文楷体"/>
          <w:color w:val="000000"/>
          <w:sz w:val="24"/>
        </w:rPr>
        <w:t>申请并</w:t>
      </w:r>
      <w:r>
        <w:rPr>
          <w:rFonts w:hint="eastAsia" w:ascii="华文楷体" w:hAnsi="华文楷体" w:eastAsia="华文楷体" w:cs="华文楷体"/>
          <w:sz w:val="24"/>
        </w:rPr>
        <w:t>写明理由（书面辞职申请报告见附件1-6），需</w:t>
      </w:r>
      <w:r>
        <w:rPr>
          <w:rFonts w:hint="eastAsia" w:ascii="华文楷体" w:hAnsi="华文楷体" w:eastAsia="华文楷体" w:cs="华文楷体"/>
          <w:color w:val="000000"/>
          <w:sz w:val="24"/>
          <w:u w:val="single" w:color="FFFFFF"/>
        </w:rPr>
        <w:t>继任</w:t>
      </w:r>
      <w:r>
        <w:rPr>
          <w:rFonts w:hint="eastAsia" w:ascii="华文楷体" w:hAnsi="华文楷体" w:eastAsia="华文楷体" w:cs="华文楷体"/>
          <w:sz w:val="24"/>
        </w:rPr>
        <w:t>者上岗后方可办理手续。</w:t>
      </w:r>
    </w:p>
    <w:p>
      <w:pPr>
        <w:spacing w:line="360" w:lineRule="auto"/>
        <w:ind w:firstLine="480" w:firstLineChars="200"/>
        <w:rPr>
          <w:rFonts w:hint="eastAsia" w:ascii="华文楷体" w:hAnsi="华文楷体" w:eastAsia="华文楷体" w:cs="华文楷体"/>
          <w:sz w:val="24"/>
        </w:rPr>
      </w:pPr>
      <w:r>
        <w:rPr>
          <w:rFonts w:hint="eastAsia" w:ascii="华文楷体" w:hAnsi="华文楷体" w:eastAsia="华文楷体" w:cs="华文楷体"/>
          <w:sz w:val="24"/>
        </w:rPr>
        <w:t>第十</w:t>
      </w:r>
      <w:r>
        <w:rPr>
          <w:rFonts w:hint="eastAsia" w:ascii="华文楷体" w:hAnsi="华文楷体" w:eastAsia="华文楷体" w:cs="华文楷体"/>
          <w:sz w:val="24"/>
          <w:lang w:eastAsia="zh-CN"/>
        </w:rPr>
        <w:t>七</w:t>
      </w:r>
      <w:r>
        <w:rPr>
          <w:rFonts w:hint="eastAsia" w:ascii="华文楷体" w:hAnsi="华文楷体" w:eastAsia="华文楷体" w:cs="华文楷体"/>
          <w:sz w:val="24"/>
        </w:rPr>
        <w:t>条 享受公费公假进修或培训的员工，均须签订培训合同（见附件1-7），未满培训合同期辞职，不论何种理由均按合同赔偿。</w:t>
      </w:r>
    </w:p>
    <w:p>
      <w:pPr>
        <w:spacing w:line="360" w:lineRule="auto"/>
        <w:ind w:firstLine="480" w:firstLineChars="200"/>
        <w:rPr>
          <w:rFonts w:hint="eastAsia" w:ascii="华文楷体" w:hAnsi="华文楷体" w:eastAsia="华文楷体" w:cs="华文楷体"/>
          <w:sz w:val="24"/>
          <w:lang w:val="en-US" w:eastAsia="zh-CN"/>
        </w:rPr>
      </w:pPr>
      <w:r>
        <w:rPr>
          <w:rFonts w:hint="eastAsia" w:ascii="华文楷体" w:hAnsi="华文楷体" w:eastAsia="华文楷体" w:cs="华文楷体"/>
          <w:sz w:val="24"/>
          <w:lang w:eastAsia="zh-CN"/>
        </w:rPr>
        <w:t>第十八条</w:t>
      </w:r>
      <w:r>
        <w:rPr>
          <w:rFonts w:hint="eastAsia" w:ascii="华文楷体" w:hAnsi="华文楷体" w:eastAsia="华文楷体" w:cs="华文楷体"/>
          <w:sz w:val="24"/>
          <w:lang w:val="en-US" w:eastAsia="zh-CN"/>
        </w:rPr>
        <w:t xml:space="preserve"> 在内部领取固定兼职费的人员，也需要签订兼职协议书或备忘录作为劳动合同附件，注明工作岗位和内容，量化的指标（见附件1-8）。</w:t>
      </w:r>
    </w:p>
    <w:p>
      <w:pPr>
        <w:spacing w:line="360" w:lineRule="auto"/>
        <w:ind w:firstLine="480" w:firstLineChars="200"/>
        <w:rPr>
          <w:rFonts w:hint="eastAsia" w:ascii="华文楷体" w:hAnsi="华文楷体" w:eastAsia="华文楷体" w:cs="华文楷体"/>
          <w:sz w:val="24"/>
          <w:lang w:val="en-US" w:eastAsia="zh-CN"/>
        </w:rPr>
      </w:pPr>
    </w:p>
    <w:sectPr>
      <w:headerReference r:id="rId5" w:type="first"/>
      <w:footerReference r:id="rId8" w:type="first"/>
      <w:headerReference r:id="rId4" w:type="default"/>
      <w:footerReference r:id="rId6" w:type="default"/>
      <w:footerReference r:id="rId7" w:type="even"/>
      <w:pgSz w:w="11906" w:h="16838"/>
      <w:pgMar w:top="1758" w:right="1474" w:bottom="1758" w:left="1474" w:header="567" w:footer="79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entury">
    <w:panose1 w:val="02040604050505020304"/>
    <w:charset w:val="00"/>
    <w:family w:val="auto"/>
    <w:pitch w:val="default"/>
    <w:sig w:usb0="00000287" w:usb1="00000000" w:usb2="00000000" w:usb3="00000000" w:csb0="2000009F" w:csb1="DFD70000"/>
  </w:font>
  <w:font w:name="GB P Mincho">
    <w:altName w:val="宋体"/>
    <w:panose1 w:val="00000000000000000000"/>
    <w:charset w:val="86"/>
    <w:family w:val="auto"/>
    <w:pitch w:val="default"/>
    <w:sig w:usb0="00000001" w:usb1="080E0000" w:usb2="00000010" w:usb3="00000000" w:csb0="00040000" w:csb1="00000000"/>
  </w:font>
  <w:font w:name="仿宋_GB2312">
    <w:altName w:val="仿宋"/>
    <w:panose1 w:val="00000000000000000000"/>
    <w:charset w:val="86"/>
    <w:family w:val="auto"/>
    <w:pitch w:val="default"/>
    <w:sig w:usb0="00000001" w:usb1="080E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MS Mincho">
    <w:panose1 w:val="020206090402050803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r>
      <w:rPr>
        <w:rFonts w:ascii="Times New Roman" w:hAnsi="Times New Roman" w:eastAsia="宋体" w:cs="Times New Roman"/>
        <w:kern w:val="0"/>
        <w:sz w:val="18"/>
        <w:szCs w:val="18"/>
        <w:lang w:val="en-US" w:eastAsia="zh-CN" w:bidi="ar-SA"/>
      </w:rPr>
      <w:pict>
        <v:shape id="Text Box 3" o:spid="_x0000_s1027" type="#_x0000_t202" style="position:absolute;left:0;margin-top:0pt;height:10.35pt;width:4.65pt;mso-position-horizontal:right;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fldChar w:fldCharType="begin"/>
                </w:r>
                <w:r>
                  <w:instrText xml:space="preserve"> PAGE  \* MERGEFORMAT </w:instrText>
                </w:r>
                <w:r>
                  <w:fldChar w:fldCharType="separate"/>
                </w:r>
                <w:r>
                  <w:rPr>
                    <w:sz w:val="18"/>
                  </w:rPr>
                  <w:t>2</w:t>
                </w:r>
                <w:r>
                  <w:rPr>
                    <w:sz w:val="18"/>
                  </w:rPr>
                  <w:fldChar w:fldCharType="end"/>
                </w:r>
              </w:p>
            </w:txbxContent>
          </v:textbox>
        </v:shape>
      </w:pict>
    </w:r>
    <w:r>
      <w:rPr>
        <w:rFonts w:hint="eastAsia"/>
      </w:rPr>
      <w:t>宗旨：推广社区化服务模式，提高智障人士生活品质</w:t>
    </w:r>
  </w:p>
  <w:p>
    <w:pPr>
      <w:pStyle w:val="7"/>
    </w:pPr>
    <w:r>
      <w:rPr>
        <w:rFonts w:hint="eastAsia"/>
      </w:rPr>
      <w:t>远景：智障人士平等参与社区建设，共享社会文明成果</w:t>
    </w:r>
    <w:r>
      <w:rPr>
        <w:rFonts w:ascii="Times New Roman" w:hAnsi="Times New Roman" w:eastAsia="宋体" w:cs="Times New Roman"/>
        <w:kern w:val="0"/>
        <w:sz w:val="18"/>
        <w:szCs w:val="18"/>
        <w:lang w:val="en-US" w:eastAsia="zh-CN" w:bidi="ar-SA"/>
      </w:rPr>
      <w:pict>
        <v:shape id="文本框4" o:spid="_x0000_s1028" type="#_x0000_t202" style="position:absolute;left:0;margin-top:0pt;height:10.35pt;width:9.15pt;mso-position-horizontal:righ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vAnchor="text" w:hAnchor="margin" w:xAlign="center" w:y="1"/>
      <w:rPr>
        <w:rStyle w:val="12"/>
        <w:sz w:val="21"/>
        <w:szCs w:val="24"/>
      </w:rPr>
    </w:pPr>
    <w:r>
      <w:rPr>
        <w:rStyle w:val="12"/>
      </w:rPr>
      <w:fldChar w:fldCharType="begin"/>
    </w:r>
    <w:r>
      <w:rPr>
        <w:rStyle w:val="12"/>
      </w:rPr>
      <w:instrText xml:space="preserve">PAGE  </w:instrText>
    </w:r>
    <w:r>
      <w:rPr>
        <w:rStyle w:val="12"/>
      </w:rP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r>
      <w:rPr>
        <w:rFonts w:ascii="Times New Roman" w:hAnsi="Times New Roman" w:eastAsia="宋体" w:cs="Times New Roman"/>
        <w:kern w:val="0"/>
        <w:sz w:val="18"/>
        <w:szCs w:val="18"/>
        <w:lang w:val="en-US" w:eastAsia="zh-CN" w:bidi="ar-SA"/>
      </w:rPr>
      <w:pict>
        <v:shape id="文本框5" o:spid="_x0000_s1029" type="#_x0000_t202" style="position:absolute;left:0;margin-top:0pt;height:12.05pt;width:5.4pt;mso-position-horizontal:right;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t>1</w:t>
                </w:r>
              </w:p>
            </w:txbxContent>
          </v:textbox>
        </v:shape>
      </w:pict>
    </w:r>
    <w:r>
      <w:rPr>
        <w:rFonts w:hint="eastAsia"/>
      </w:rPr>
      <w:t>宗旨：推广社区化服务模式，提高智障人士生活品质</w:t>
    </w:r>
  </w:p>
  <w:p>
    <w:pPr>
      <w:pStyle w:val="7"/>
    </w:pPr>
    <w:r>
      <w:rPr>
        <w:rFonts w:hint="eastAsia"/>
      </w:rPr>
      <w:t>远景：智障人士平等参与社区建设，共享社会文明成果</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宋体" w:cs="Times New Roman"/>
        <w:kern w:val="0"/>
        <w:sz w:val="18"/>
        <w:szCs w:val="18"/>
        <w:lang w:val="en-US" w:eastAsia="zh-CN" w:bidi="ar-SA"/>
      </w:rPr>
      <w:pict>
        <v:shape id="Picture 2" o:spid="_x0000_s1025" type="#_x0000_t75" style="height:45pt;width:45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rPr>
        <w:rFonts w:hint="eastAsia" w:cs="宋体"/>
      </w:rPr>
      <w:t>慧灵（中国）智障人士服务机构</w:t>
    </w:r>
    <w:r>
      <w:rPr>
        <w:rFonts w:hint="eastAsia" w:ascii="华文楷体" w:hAnsi="华文楷体" w:eastAsia="华文楷体"/>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rPr>
        <w:szCs w:val="24"/>
      </w:rPr>
    </w:pPr>
    <w:r>
      <w:rPr>
        <w:rFonts w:ascii="Times New Roman" w:hAnsi="Times New Roman" w:eastAsia="宋体" w:cs="Times New Roman"/>
        <w:kern w:val="0"/>
        <w:sz w:val="18"/>
        <w:szCs w:val="18"/>
        <w:lang w:val="en-US" w:eastAsia="zh-CN" w:bidi="ar-SA"/>
      </w:rPr>
      <w:pict>
        <v:shape id="图片 9" o:spid="_x0000_s1026" type="#_x0000_t75" style="height:45pt;width:45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rPr>
        <w:rFonts w:hint="eastAsia" w:cs="宋体"/>
      </w:rPr>
      <w:t>慧灵（中国）智障人士服务机构</w:t>
    </w:r>
    <w:r>
      <w:rPr>
        <w:rFonts w:hint="eastAsia" w:ascii="华文楷体" w:hAnsi="华文楷体" w:eastAsia="华文楷体"/>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29055744">
    <w:nsid w:val="316A6300"/>
    <w:multiLevelType w:val="multilevel"/>
    <w:tmpl w:val="316A6300"/>
    <w:lvl w:ilvl="0" w:tentative="1">
      <w:start w:val="1"/>
      <w:numFmt w:val="japaneseCounting"/>
      <w:lvlText w:val="第%1章"/>
      <w:lvlJc w:val="left"/>
      <w:pPr>
        <w:ind w:left="1275" w:hanging="1275"/>
      </w:pPr>
      <w:rPr>
        <w:rFonts w:hint="default"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8290557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61659"/>
    <w:rsid w:val="00002B0D"/>
    <w:rsid w:val="000768CE"/>
    <w:rsid w:val="00091938"/>
    <w:rsid w:val="000B3FD2"/>
    <w:rsid w:val="000C4E42"/>
    <w:rsid w:val="000F575F"/>
    <w:rsid w:val="0011660C"/>
    <w:rsid w:val="001A1A97"/>
    <w:rsid w:val="001F019A"/>
    <w:rsid w:val="00206D15"/>
    <w:rsid w:val="00253CBA"/>
    <w:rsid w:val="00254FAB"/>
    <w:rsid w:val="00266197"/>
    <w:rsid w:val="002921A0"/>
    <w:rsid w:val="002940C8"/>
    <w:rsid w:val="002C7937"/>
    <w:rsid w:val="002D397A"/>
    <w:rsid w:val="0032561F"/>
    <w:rsid w:val="00331AB9"/>
    <w:rsid w:val="00341E0F"/>
    <w:rsid w:val="00355518"/>
    <w:rsid w:val="00383601"/>
    <w:rsid w:val="003A6D52"/>
    <w:rsid w:val="004159F0"/>
    <w:rsid w:val="004654B8"/>
    <w:rsid w:val="004A7FC1"/>
    <w:rsid w:val="00503B2D"/>
    <w:rsid w:val="00517E00"/>
    <w:rsid w:val="00557214"/>
    <w:rsid w:val="005665A3"/>
    <w:rsid w:val="00567E8A"/>
    <w:rsid w:val="005F68DF"/>
    <w:rsid w:val="0060533E"/>
    <w:rsid w:val="006430DF"/>
    <w:rsid w:val="006C1AF3"/>
    <w:rsid w:val="006C50BC"/>
    <w:rsid w:val="006D1E4A"/>
    <w:rsid w:val="006D52EA"/>
    <w:rsid w:val="00712A01"/>
    <w:rsid w:val="00720C81"/>
    <w:rsid w:val="00761659"/>
    <w:rsid w:val="007667FE"/>
    <w:rsid w:val="007B029C"/>
    <w:rsid w:val="007F2085"/>
    <w:rsid w:val="00804D28"/>
    <w:rsid w:val="00875814"/>
    <w:rsid w:val="0089374D"/>
    <w:rsid w:val="008A3790"/>
    <w:rsid w:val="008D3216"/>
    <w:rsid w:val="008F3E14"/>
    <w:rsid w:val="009712B8"/>
    <w:rsid w:val="00991219"/>
    <w:rsid w:val="009C1621"/>
    <w:rsid w:val="009C4BAB"/>
    <w:rsid w:val="009D32D8"/>
    <w:rsid w:val="00A807CD"/>
    <w:rsid w:val="00A8387E"/>
    <w:rsid w:val="00A93EF7"/>
    <w:rsid w:val="00AD28FB"/>
    <w:rsid w:val="00B22BF6"/>
    <w:rsid w:val="00B3604C"/>
    <w:rsid w:val="00B50428"/>
    <w:rsid w:val="00BB70BE"/>
    <w:rsid w:val="00C0775A"/>
    <w:rsid w:val="00C201DC"/>
    <w:rsid w:val="00C3166B"/>
    <w:rsid w:val="00C467B9"/>
    <w:rsid w:val="00C80167"/>
    <w:rsid w:val="00CD2998"/>
    <w:rsid w:val="00D467C8"/>
    <w:rsid w:val="00D879AE"/>
    <w:rsid w:val="00DA24FF"/>
    <w:rsid w:val="00DC4794"/>
    <w:rsid w:val="00DF7983"/>
    <w:rsid w:val="00E04A05"/>
    <w:rsid w:val="00E2039B"/>
    <w:rsid w:val="00E20E27"/>
    <w:rsid w:val="00EC1829"/>
    <w:rsid w:val="00EE649F"/>
    <w:rsid w:val="00F031BE"/>
    <w:rsid w:val="00F342B9"/>
    <w:rsid w:val="00F56A27"/>
    <w:rsid w:val="00F92E9A"/>
    <w:rsid w:val="00F96725"/>
    <w:rsid w:val="00FE3B63"/>
    <w:rsid w:val="053744EE"/>
    <w:rsid w:val="07FA3D0F"/>
    <w:rsid w:val="11EC56ED"/>
    <w:rsid w:val="126C14BF"/>
    <w:rsid w:val="133938EA"/>
    <w:rsid w:val="16923D8A"/>
    <w:rsid w:val="291168E5"/>
    <w:rsid w:val="2D4D0DD5"/>
    <w:rsid w:val="2EF93417"/>
    <w:rsid w:val="3DAF0FB5"/>
    <w:rsid w:val="4E3C18BB"/>
    <w:rsid w:val="4F4A2D0F"/>
    <w:rsid w:val="6A83439F"/>
    <w:rsid w:val="7BDB2CB6"/>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iPriority="1" w:semiHidden="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99" w:semiHidden="0" w:name="Body Text Indent 2"/>
    <w:lsdException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uiPriority w:val="1"/>
  </w:style>
  <w:style w:type="table" w:default="1" w:styleId="13">
    <w:name w:val="Normal Table"/>
    <w:unhideWhenUsed/>
    <w:qFormat/>
    <w:uiPriority w:val="99"/>
    <w:tblPr>
      <w:tblStyle w:val="13"/>
      <w:tblLayout w:type="fixed"/>
      <w:tblCellMar>
        <w:top w:w="0" w:type="dxa"/>
        <w:left w:w="108" w:type="dxa"/>
        <w:bottom w:w="0" w:type="dxa"/>
        <w:right w:w="108" w:type="dxa"/>
      </w:tblCellMar>
    </w:tblPr>
    <w:tcPr>
      <w:textDirection w:val="lrTb"/>
    </w:tcPr>
  </w:style>
  <w:style w:type="paragraph" w:styleId="2">
    <w:name w:val="annotation text"/>
    <w:basedOn w:val="1"/>
    <w:uiPriority w:val="0"/>
    <w:pPr>
      <w:jc w:val="left"/>
    </w:pPr>
  </w:style>
  <w:style w:type="paragraph" w:styleId="3">
    <w:name w:val="Body Text"/>
    <w:basedOn w:val="1"/>
    <w:link w:val="17"/>
    <w:uiPriority w:val="99"/>
    <w:pPr>
      <w:spacing w:after="120"/>
    </w:pPr>
    <w:rPr>
      <w:sz w:val="24"/>
      <w:szCs w:val="20"/>
    </w:rPr>
  </w:style>
  <w:style w:type="paragraph" w:styleId="4">
    <w:name w:val="Date"/>
    <w:basedOn w:val="1"/>
    <w:next w:val="1"/>
    <w:link w:val="18"/>
    <w:uiPriority w:val="99"/>
    <w:rPr>
      <w:sz w:val="24"/>
      <w:szCs w:val="20"/>
    </w:rPr>
  </w:style>
  <w:style w:type="paragraph" w:styleId="5">
    <w:name w:val="Body Text Indent 2"/>
    <w:basedOn w:val="1"/>
    <w:link w:val="19"/>
    <w:uiPriority w:val="99"/>
    <w:pPr>
      <w:spacing w:after="120" w:line="480" w:lineRule="auto"/>
      <w:ind w:left="420" w:leftChars="200"/>
    </w:pPr>
    <w:rPr>
      <w:kern w:val="0"/>
      <w:sz w:val="20"/>
    </w:rPr>
  </w:style>
  <w:style w:type="paragraph" w:styleId="6">
    <w:name w:val="Balloon Text"/>
    <w:basedOn w:val="1"/>
    <w:link w:val="20"/>
    <w:semiHidden/>
    <w:uiPriority w:val="99"/>
    <w:rPr>
      <w:kern w:val="0"/>
      <w:sz w:val="16"/>
      <w:szCs w:val="16"/>
    </w:rPr>
  </w:style>
  <w:style w:type="paragraph" w:styleId="7">
    <w:name w:val="footer"/>
    <w:basedOn w:val="1"/>
    <w:link w:val="21"/>
    <w:uiPriority w:val="99"/>
    <w:pPr>
      <w:tabs>
        <w:tab w:val="center" w:pos="4153"/>
        <w:tab w:val="right" w:pos="8306"/>
      </w:tabs>
      <w:snapToGrid w:val="0"/>
      <w:jc w:val="left"/>
    </w:pPr>
    <w:rPr>
      <w:kern w:val="0"/>
      <w:sz w:val="18"/>
      <w:szCs w:val="18"/>
    </w:rPr>
  </w:style>
  <w:style w:type="paragraph" w:styleId="8">
    <w:name w:val="header"/>
    <w:basedOn w:val="1"/>
    <w:link w:val="22"/>
    <w:uiPriority w:val="99"/>
    <w:pPr>
      <w:tabs>
        <w:tab w:val="center" w:pos="4252"/>
        <w:tab w:val="right" w:pos="8504"/>
      </w:tabs>
      <w:snapToGrid w:val="0"/>
    </w:pPr>
    <w:rPr>
      <w:kern w:val="0"/>
      <w:sz w:val="18"/>
      <w:szCs w:val="18"/>
    </w:rPr>
  </w:style>
  <w:style w:type="paragraph" w:styleId="9">
    <w:name w:val="Body Text Indent 3"/>
    <w:basedOn w:val="1"/>
    <w:link w:val="23"/>
    <w:uiPriority w:val="99"/>
    <w:pPr>
      <w:ind w:left="2" w:firstLine="478" w:firstLineChars="199"/>
    </w:pPr>
    <w:rPr>
      <w:rFonts w:ascii="Century" w:hAnsi="Century" w:eastAsia="GB P Mincho"/>
      <w:sz w:val="24"/>
      <w:szCs w:val="20"/>
    </w:rPr>
  </w:style>
  <w:style w:type="paragraph" w:styleId="10">
    <w:name w:val="Normal (Web)"/>
    <w:basedOn w:val="1"/>
    <w:uiPriority w:val="99"/>
    <w:pPr>
      <w:widowControl/>
      <w:spacing w:before="100" w:beforeAutospacing="1" w:after="100" w:afterAutospacing="1"/>
      <w:jc w:val="left"/>
    </w:pPr>
    <w:rPr>
      <w:rFonts w:ascii="宋体" w:hAnsi="宋体" w:cs="宋体"/>
      <w:kern w:val="0"/>
      <w:sz w:val="24"/>
    </w:rPr>
  </w:style>
  <w:style w:type="character" w:styleId="12">
    <w:name w:val="page number"/>
    <w:basedOn w:val="11"/>
    <w:uiPriority w:val="99"/>
    <w:rPr>
      <w:rFonts w:cs="Times New Roman"/>
    </w:rPr>
  </w:style>
  <w:style w:type="table" w:styleId="14">
    <w:name w:val="Table Grid"/>
    <w:basedOn w:val="13"/>
    <w:uiPriority w:val="99"/>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5">
    <w:name w:val="列出段落1"/>
    <w:basedOn w:val="1"/>
    <w:uiPriority w:val="99"/>
    <w:pPr>
      <w:ind w:firstLine="420" w:firstLineChars="200"/>
    </w:pPr>
  </w:style>
  <w:style w:type="paragraph" w:customStyle="1" w:styleId="16">
    <w:name w:val="MTDisplayEquation"/>
    <w:basedOn w:val="9"/>
    <w:next w:val="1"/>
    <w:link w:val="24"/>
    <w:uiPriority w:val="99"/>
    <w:pPr>
      <w:tabs>
        <w:tab w:val="center" w:pos="4480"/>
        <w:tab w:val="right" w:pos="8960"/>
      </w:tabs>
      <w:spacing w:line="360" w:lineRule="auto"/>
      <w:ind w:left="0" w:firstLine="560" w:firstLineChars="200"/>
    </w:pPr>
    <w:rPr>
      <w:rFonts w:ascii="仿宋_GB2312" w:hAnsi="宋体" w:eastAsia="仿宋_GB2312"/>
      <w:sz w:val="28"/>
    </w:rPr>
  </w:style>
  <w:style w:type="character" w:customStyle="1" w:styleId="17">
    <w:name w:val="正文文本 Char"/>
    <w:basedOn w:val="11"/>
    <w:link w:val="3"/>
    <w:locked/>
    <w:uiPriority w:val="99"/>
    <w:rPr>
      <w:rFonts w:cs="Times New Roman"/>
      <w:kern w:val="2"/>
      <w:sz w:val="24"/>
    </w:rPr>
  </w:style>
  <w:style w:type="character" w:customStyle="1" w:styleId="18">
    <w:name w:val="日期 Char"/>
    <w:basedOn w:val="11"/>
    <w:link w:val="4"/>
    <w:locked/>
    <w:uiPriority w:val="99"/>
    <w:rPr>
      <w:rFonts w:cs="Times New Roman"/>
      <w:kern w:val="2"/>
      <w:sz w:val="24"/>
    </w:rPr>
  </w:style>
  <w:style w:type="character" w:customStyle="1" w:styleId="19">
    <w:name w:val="正文文本缩进 2 Char"/>
    <w:basedOn w:val="11"/>
    <w:link w:val="5"/>
    <w:semiHidden/>
    <w:locked/>
    <w:uiPriority w:val="99"/>
    <w:rPr>
      <w:rFonts w:cs="Times New Roman"/>
      <w:sz w:val="24"/>
    </w:rPr>
  </w:style>
  <w:style w:type="character" w:customStyle="1" w:styleId="20">
    <w:name w:val="批注框文本 Char"/>
    <w:basedOn w:val="11"/>
    <w:link w:val="6"/>
    <w:semiHidden/>
    <w:locked/>
    <w:uiPriority w:val="99"/>
    <w:rPr>
      <w:rFonts w:cs="Times New Roman"/>
      <w:sz w:val="16"/>
    </w:rPr>
  </w:style>
  <w:style w:type="character" w:customStyle="1" w:styleId="21">
    <w:name w:val="页脚 Char"/>
    <w:basedOn w:val="11"/>
    <w:link w:val="7"/>
    <w:locked/>
    <w:uiPriority w:val="99"/>
    <w:rPr>
      <w:rFonts w:cs="Times New Roman"/>
      <w:sz w:val="18"/>
    </w:rPr>
  </w:style>
  <w:style w:type="character" w:customStyle="1" w:styleId="22">
    <w:name w:val="页眉 Char"/>
    <w:basedOn w:val="11"/>
    <w:link w:val="8"/>
    <w:semiHidden/>
    <w:locked/>
    <w:uiPriority w:val="99"/>
    <w:rPr>
      <w:rFonts w:cs="Times New Roman"/>
      <w:sz w:val="18"/>
    </w:rPr>
  </w:style>
  <w:style w:type="character" w:customStyle="1" w:styleId="23">
    <w:name w:val="正文文本缩进 3 Char"/>
    <w:basedOn w:val="11"/>
    <w:link w:val="9"/>
    <w:locked/>
    <w:uiPriority w:val="99"/>
    <w:rPr>
      <w:rFonts w:ascii="Century" w:hAnsi="Century" w:eastAsia="GB P Mincho" w:cs="Times New Roman"/>
      <w:kern w:val="2"/>
      <w:sz w:val="24"/>
    </w:rPr>
  </w:style>
  <w:style w:type="character" w:customStyle="1" w:styleId="24">
    <w:name w:val="MTDisplayEquation Char"/>
    <w:link w:val="16"/>
    <w:locked/>
    <w:uiPriority w:val="99"/>
    <w:rPr>
      <w:rFonts w:ascii="仿宋_GB2312" w:hAnsi="宋体" w:eastAsia="仿宋_GB2312"/>
      <w:kern w:val="2"/>
      <w:sz w:val="28"/>
    </w:rPr>
  </w:style>
  <w:style w:type="character" w:customStyle="1" w:styleId="25">
    <w:name w:val="apple-converted-space"/>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141</Words>
  <Characters>805</Characters>
  <Lines>6</Lines>
  <Paragraphs>1</Paragraphs>
  <ScaleCrop>false</ScaleCrop>
  <LinksUpToDate>false</LinksUpToDate>
  <CharactersWithSpaces>0</CharactersWithSpaces>
  <Application>WPS Office 个人版_9.1.0.4984_{F1E327BC-269C-435d-A152-05C5408002CA}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2014-08-26T01:23:00Z</dcterms:created>
  <dc:creator>微软用户</dc:creator>
  <cp:lastModifiedBy>Administrator</cp:lastModifiedBy>
  <cp:lastPrinted>2014-03-12T02:23:00Z</cp:lastPrinted>
  <dcterms:modified xsi:type="dcterms:W3CDTF">2015-03-01T11:57:37Z</dcterms:modified>
  <dc:title>批准</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2052-9.1.0.4984</vt:lpwstr>
  </property>
</Properties>
</file>